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обучающихся по дисциплине </w:t>
      </w:r>
    </w:p>
    <w:p w14:paraId="0F46E804" w14:textId="5A890B49" w:rsidR="00877ACD" w:rsidRDefault="00225F8E" w:rsidP="00225F8E">
      <w:pPr>
        <w:widowControl w:val="0"/>
        <w:tabs>
          <w:tab w:val="left" w:pos="1320"/>
        </w:tabs>
        <w:spacing w:line="360" w:lineRule="auto"/>
        <w:ind w:firstLine="540"/>
        <w:jc w:val="center"/>
      </w:pPr>
      <w:r w:rsidRPr="00225F8E">
        <w:rPr>
          <w:b/>
        </w:rPr>
        <w:t>Б1.В.25 Основы психологии семьи и семейного консультирования</w:t>
      </w:r>
    </w:p>
    <w:p w14:paraId="509F837D" w14:textId="504C041F"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CD"/>
    <w:rsid w:val="00225F8E"/>
    <w:rsid w:val="006348A6"/>
    <w:rsid w:val="0087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15:chartTrackingRefBased/>
  <w15:docId w15:val="{395DB169-719F-458C-9433-B147243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Римма Кутбиддинова</cp:lastModifiedBy>
  <cp:revision>3</cp:revision>
  <dcterms:created xsi:type="dcterms:W3CDTF">2020-08-26T12:33:00Z</dcterms:created>
  <dcterms:modified xsi:type="dcterms:W3CDTF">2020-08-26T13:09:00Z</dcterms:modified>
</cp:coreProperties>
</file>