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61" w:rsidRPr="00963D3D" w:rsidRDefault="00963D3D" w:rsidP="00963D3D">
      <w:pPr>
        <w:spacing w:after="0" w:line="240" w:lineRule="auto"/>
        <w:ind w:left="170" w:righ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3D3D">
        <w:rPr>
          <w:rFonts w:ascii="Times New Roman" w:hAnsi="Times New Roman" w:cs="Times New Roman"/>
          <w:b/>
          <w:sz w:val="28"/>
          <w:szCs w:val="28"/>
        </w:rPr>
        <w:t>Рожкова Анна Олеговна,</w:t>
      </w:r>
    </w:p>
    <w:p w:rsidR="00963D3D" w:rsidRDefault="00963D3D" w:rsidP="00963D3D">
      <w:pPr>
        <w:spacing w:after="0" w:line="240" w:lineRule="auto"/>
        <w:ind w:left="170" w:righ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3D3D">
        <w:rPr>
          <w:rFonts w:ascii="Times New Roman" w:hAnsi="Times New Roman" w:cs="Times New Roman"/>
          <w:b/>
          <w:sz w:val="28"/>
          <w:szCs w:val="28"/>
        </w:rPr>
        <w:t>студентка 3 курса направления подготовки «Экономика»</w:t>
      </w:r>
    </w:p>
    <w:p w:rsidR="00963D3D" w:rsidRDefault="00963D3D" w:rsidP="00963D3D">
      <w:pPr>
        <w:spacing w:after="0" w:line="240" w:lineRule="auto"/>
        <w:ind w:left="170"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3D3D" w:rsidRDefault="00963D3D" w:rsidP="00963D3D">
      <w:pPr>
        <w:spacing w:after="0" w:line="240" w:lineRule="auto"/>
        <w:ind w:left="170" w:right="5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963D3D" w:rsidRDefault="00963D3D" w:rsidP="00963D3D">
      <w:pPr>
        <w:spacing w:after="0" w:line="240" w:lineRule="auto"/>
        <w:ind w:left="170" w:right="5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Питиляк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Дмитрий Александрович,</w:t>
      </w:r>
    </w:p>
    <w:p w:rsidR="00963D3D" w:rsidRDefault="00963D3D" w:rsidP="00963D3D">
      <w:pPr>
        <w:spacing w:after="0" w:line="240" w:lineRule="auto"/>
        <w:ind w:left="170" w:right="5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преподаватель</w:t>
      </w:r>
    </w:p>
    <w:p w:rsidR="00480661" w:rsidRPr="00480661" w:rsidRDefault="00480661" w:rsidP="00963D3D">
      <w:pPr>
        <w:spacing w:after="0" w:line="360" w:lineRule="auto"/>
        <w:ind w:right="57"/>
        <w:rPr>
          <w:rFonts w:ascii="Times New Roman" w:hAnsi="Times New Roman" w:cs="Times New Roman"/>
          <w:b/>
          <w:i/>
          <w:sz w:val="28"/>
          <w:szCs w:val="28"/>
        </w:rPr>
      </w:pPr>
    </w:p>
    <w:p w:rsidR="00963D3D" w:rsidRDefault="00480661" w:rsidP="00480661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661">
        <w:rPr>
          <w:rFonts w:ascii="Times New Roman" w:hAnsi="Times New Roman" w:cs="Times New Roman"/>
          <w:b/>
          <w:sz w:val="28"/>
          <w:szCs w:val="28"/>
        </w:rPr>
        <w:t xml:space="preserve">Основные макроэкономические показатели </w:t>
      </w:r>
    </w:p>
    <w:p w:rsidR="00480661" w:rsidRPr="00480661" w:rsidRDefault="00480661" w:rsidP="00480661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661">
        <w:rPr>
          <w:rFonts w:ascii="Times New Roman" w:hAnsi="Times New Roman" w:cs="Times New Roman"/>
          <w:b/>
          <w:sz w:val="28"/>
          <w:szCs w:val="28"/>
        </w:rPr>
        <w:t>деятельности банковского сектора Сахалинской области</w:t>
      </w:r>
    </w:p>
    <w:p w:rsidR="00480661" w:rsidRDefault="00480661" w:rsidP="00480661">
      <w:pPr>
        <w:spacing w:after="0" w:line="36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5226ED" w:rsidRDefault="00480661" w:rsidP="00963D3D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рассматриваются </w:t>
      </w:r>
      <w:r w:rsidR="00A72821">
        <w:rPr>
          <w:rFonts w:ascii="Times New Roman" w:hAnsi="Times New Roman" w:cs="Times New Roman"/>
          <w:sz w:val="28"/>
          <w:szCs w:val="28"/>
        </w:rPr>
        <w:t>основные показатели деятельности банковского сектора Сахалинской области в период с 2005 по 2016 годы. На основе данных Центрального банка РФ и Федеральной службы государственной статистики проведен анализ показателей банковского сектора региона до и после изменения экономической ситуации в России. Особое внимание уделяется объему вкладов населения и изменению количества кредитных организаций.</w:t>
      </w:r>
    </w:p>
    <w:p w:rsidR="00A72821" w:rsidRDefault="005226ED" w:rsidP="00A7282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E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480661">
        <w:rPr>
          <w:rFonts w:ascii="Times New Roman" w:hAnsi="Times New Roman" w:cs="Times New Roman"/>
          <w:sz w:val="28"/>
          <w:szCs w:val="28"/>
        </w:rPr>
        <w:t xml:space="preserve"> банковский сектор, Сахалинская область, банковские вклады, показатели деятельности банков.</w:t>
      </w:r>
    </w:p>
    <w:p w:rsidR="00A72821" w:rsidRDefault="00A72821" w:rsidP="00A72821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2821" w:rsidRPr="002E69AF" w:rsidRDefault="00A72821" w:rsidP="00A72821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2E69AF">
        <w:rPr>
          <w:rFonts w:ascii="Times New Roman" w:hAnsi="Times New Roman" w:cs="Times New Roman"/>
          <w:b/>
          <w:i/>
          <w:sz w:val="28"/>
          <w:szCs w:val="28"/>
          <w:lang w:val="en-US"/>
        </w:rPr>
        <w:t>Rozhkova</w:t>
      </w:r>
      <w:proofErr w:type="spellEnd"/>
      <w:r w:rsidRPr="002E69A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A.O.</w:t>
      </w:r>
    </w:p>
    <w:p w:rsidR="00A72821" w:rsidRDefault="00A72821" w:rsidP="00A72821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2E69A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The research supervisor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Pitilyak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D.A.</w:t>
      </w:r>
      <w:proofErr w:type="gramEnd"/>
    </w:p>
    <w:p w:rsidR="00A72821" w:rsidRPr="009555FF" w:rsidRDefault="00A72821" w:rsidP="00A72821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F512A" w:rsidRPr="009555FF" w:rsidRDefault="009555FF" w:rsidP="00A72821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General </w:t>
      </w:r>
      <w:r w:rsidRPr="00FD1207">
        <w:rPr>
          <w:rFonts w:ascii="Times New Roman" w:hAnsi="Times New Roman" w:cs="Times New Roman"/>
          <w:b/>
          <w:sz w:val="28"/>
          <w:szCs w:val="28"/>
          <w:lang w:val="en-US"/>
        </w:rPr>
        <w:t>macroeconomic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indicators of the Sakhalin Region bank sphere development</w:t>
      </w:r>
    </w:p>
    <w:p w:rsidR="007F512A" w:rsidRPr="009555FF" w:rsidRDefault="007F512A" w:rsidP="00A72821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1663" w:rsidRDefault="00A72821" w:rsidP="0008166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4F6A">
        <w:rPr>
          <w:rFonts w:ascii="Times New Roman" w:hAnsi="Times New Roman" w:cs="Times New Roman"/>
          <w:sz w:val="28"/>
          <w:szCs w:val="28"/>
          <w:lang w:val="en-US"/>
        </w:rPr>
        <w:t xml:space="preserve">The article discusses the </w:t>
      </w:r>
      <w:r w:rsidR="00F16604">
        <w:rPr>
          <w:rFonts w:ascii="Times New Roman" w:hAnsi="Times New Roman" w:cs="Times New Roman"/>
          <w:sz w:val="28"/>
          <w:szCs w:val="28"/>
          <w:lang w:val="en-US"/>
        </w:rPr>
        <w:t>banking sector</w:t>
      </w:r>
      <w:r w:rsidR="00065459" w:rsidRPr="000654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5459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Pr="00264F6A">
        <w:rPr>
          <w:rFonts w:ascii="Times New Roman" w:hAnsi="Times New Roman" w:cs="Times New Roman"/>
          <w:sz w:val="28"/>
          <w:szCs w:val="28"/>
          <w:lang w:val="en-US"/>
        </w:rPr>
        <w:t xml:space="preserve"> of the Sakhalin Region </w:t>
      </w:r>
      <w:r w:rsidR="009B7ABF" w:rsidRPr="00FD1207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9B7A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6604">
        <w:rPr>
          <w:rFonts w:ascii="Times New Roman" w:hAnsi="Times New Roman" w:cs="Times New Roman"/>
          <w:sz w:val="28"/>
          <w:szCs w:val="28"/>
          <w:lang w:val="en-US"/>
        </w:rPr>
        <w:t>2005-2016</w:t>
      </w:r>
      <w:r w:rsidRPr="00264F6A">
        <w:rPr>
          <w:rFonts w:ascii="Times New Roman" w:hAnsi="Times New Roman" w:cs="Times New Roman"/>
          <w:sz w:val="28"/>
          <w:szCs w:val="28"/>
          <w:lang w:val="en-US"/>
        </w:rPr>
        <w:t xml:space="preserve">. The </w:t>
      </w:r>
      <w:r w:rsidR="00065459">
        <w:rPr>
          <w:rFonts w:ascii="Times New Roman" w:hAnsi="Times New Roman" w:cs="Times New Roman"/>
          <w:sz w:val="28"/>
          <w:szCs w:val="28"/>
          <w:lang w:val="en-US"/>
        </w:rPr>
        <w:t>indicators of regional bank sphere were</w:t>
      </w:r>
      <w:r w:rsidRPr="00264F6A">
        <w:rPr>
          <w:rFonts w:ascii="Times New Roman" w:hAnsi="Times New Roman" w:cs="Times New Roman"/>
          <w:sz w:val="28"/>
          <w:szCs w:val="28"/>
          <w:lang w:val="en-US"/>
        </w:rPr>
        <w:t xml:space="preserve"> analyzed on the basis </w:t>
      </w:r>
      <w:r w:rsidR="00065459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F16604" w:rsidRPr="00F16604">
        <w:rPr>
          <w:rFonts w:ascii="Times New Roman" w:hAnsi="Times New Roman" w:cs="Times New Roman"/>
          <w:sz w:val="28"/>
          <w:szCs w:val="28"/>
          <w:lang w:val="en-US"/>
        </w:rPr>
        <w:t xml:space="preserve"> Central Bank </w:t>
      </w:r>
      <w:r w:rsidR="00065459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="00F16604" w:rsidRPr="00F16604">
        <w:rPr>
          <w:rFonts w:ascii="Times New Roman" w:hAnsi="Times New Roman" w:cs="Times New Roman"/>
          <w:sz w:val="28"/>
          <w:szCs w:val="28"/>
          <w:lang w:val="en-US"/>
        </w:rPr>
        <w:t xml:space="preserve"> and the Federal State Statistics Service</w:t>
      </w:r>
      <w:r w:rsidRPr="00264F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5459">
        <w:rPr>
          <w:rFonts w:ascii="Times New Roman" w:hAnsi="Times New Roman" w:cs="Times New Roman"/>
          <w:sz w:val="28"/>
          <w:szCs w:val="28"/>
          <w:lang w:val="en-US"/>
        </w:rPr>
        <w:t xml:space="preserve">data </w:t>
      </w:r>
      <w:r w:rsidRPr="00264F6A">
        <w:rPr>
          <w:rFonts w:ascii="Times New Roman" w:hAnsi="Times New Roman" w:cs="Times New Roman"/>
          <w:sz w:val="28"/>
          <w:szCs w:val="28"/>
          <w:lang w:val="en-US"/>
        </w:rPr>
        <w:t xml:space="preserve">before and after </w:t>
      </w:r>
      <w:r w:rsidR="00F16604">
        <w:rPr>
          <w:rFonts w:ascii="Times New Roman" w:hAnsi="Times New Roman" w:cs="Times New Roman"/>
          <w:sz w:val="28"/>
          <w:szCs w:val="28"/>
          <w:lang w:val="en-US"/>
        </w:rPr>
        <w:t xml:space="preserve">changes </w:t>
      </w:r>
      <w:r w:rsidR="00F16604" w:rsidRPr="00FD1207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4D3792" w:rsidRPr="00FD120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F16604" w:rsidRPr="00FD1207">
        <w:rPr>
          <w:rFonts w:ascii="Times New Roman" w:hAnsi="Times New Roman" w:cs="Times New Roman"/>
          <w:sz w:val="28"/>
          <w:szCs w:val="28"/>
          <w:lang w:val="en-US"/>
        </w:rPr>
        <w:t>economic</w:t>
      </w:r>
      <w:r w:rsidR="00065459" w:rsidRPr="00FD1207">
        <w:rPr>
          <w:rFonts w:ascii="Times New Roman" w:hAnsi="Times New Roman" w:cs="Times New Roman"/>
          <w:sz w:val="28"/>
          <w:szCs w:val="28"/>
          <w:lang w:val="en-US"/>
        </w:rPr>
        <w:t xml:space="preserve"> conjuncture</w:t>
      </w:r>
      <w:r w:rsidR="00F166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166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16604">
        <w:rPr>
          <w:rFonts w:ascii="Times New Roman" w:hAnsi="Times New Roman" w:cs="Times New Roman"/>
          <w:sz w:val="28"/>
          <w:szCs w:val="28"/>
          <w:lang w:val="en-US"/>
        </w:rPr>
        <w:t xml:space="preserve"> Russia</w:t>
      </w:r>
      <w:r w:rsidRPr="00264F6A">
        <w:rPr>
          <w:rFonts w:ascii="Times New Roman" w:hAnsi="Times New Roman" w:cs="Times New Roman"/>
          <w:sz w:val="28"/>
          <w:szCs w:val="28"/>
          <w:lang w:val="en-US"/>
        </w:rPr>
        <w:t>. Special attention is paid</w:t>
      </w:r>
      <w:r w:rsidR="00081663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D64656" w:rsidRPr="00FD1207">
        <w:rPr>
          <w:rFonts w:ascii="Times New Roman" w:hAnsi="Times New Roman" w:cs="Times New Roman"/>
          <w:sz w:val="28"/>
          <w:szCs w:val="28"/>
          <w:lang w:val="en-US"/>
        </w:rPr>
        <w:t xml:space="preserve">analysis of </w:t>
      </w:r>
      <w:r w:rsidR="00065459" w:rsidRPr="00FD1207">
        <w:rPr>
          <w:rFonts w:ascii="Times New Roman" w:hAnsi="Times New Roman" w:cs="Times New Roman"/>
          <w:sz w:val="28"/>
          <w:szCs w:val="28"/>
          <w:lang w:val="en-US"/>
        </w:rPr>
        <w:t xml:space="preserve">deposit </w:t>
      </w:r>
      <w:r w:rsidR="00081663" w:rsidRPr="00FD1207">
        <w:rPr>
          <w:rFonts w:ascii="Times New Roman" w:hAnsi="Times New Roman" w:cs="Times New Roman"/>
          <w:sz w:val="28"/>
          <w:szCs w:val="28"/>
          <w:lang w:val="en-US"/>
        </w:rPr>
        <w:t>volume</w:t>
      </w:r>
      <w:r w:rsidR="00731772" w:rsidRPr="00FD1207">
        <w:rPr>
          <w:rFonts w:ascii="Times New Roman" w:hAnsi="Times New Roman" w:cs="Times New Roman"/>
          <w:sz w:val="28"/>
          <w:szCs w:val="28"/>
          <w:lang w:val="en-US"/>
        </w:rPr>
        <w:t xml:space="preserve"> dynamics</w:t>
      </w:r>
      <w:r w:rsidR="00081663" w:rsidRPr="00FD1207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081663">
        <w:rPr>
          <w:rFonts w:ascii="Times New Roman" w:hAnsi="Times New Roman" w:cs="Times New Roman"/>
          <w:sz w:val="28"/>
          <w:szCs w:val="28"/>
          <w:lang w:val="en-US"/>
        </w:rPr>
        <w:t xml:space="preserve"> amount of credit </w:t>
      </w:r>
      <w:r w:rsidR="00065459">
        <w:rPr>
          <w:rFonts w:ascii="Times New Roman" w:hAnsi="Times New Roman" w:cs="Times New Roman"/>
          <w:sz w:val="28"/>
          <w:szCs w:val="28"/>
          <w:lang w:val="en-US"/>
        </w:rPr>
        <w:t>institutions</w:t>
      </w:r>
      <w:r w:rsidRPr="00264F6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81663" w:rsidRDefault="00081663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1663" w:rsidRDefault="00081663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6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Key words: </w:t>
      </w:r>
      <w:r>
        <w:rPr>
          <w:rFonts w:ascii="Times New Roman" w:hAnsi="Times New Roman" w:cs="Times New Roman"/>
          <w:sz w:val="28"/>
          <w:szCs w:val="28"/>
          <w:lang w:val="en-US"/>
        </w:rPr>
        <w:t>banking sector</w:t>
      </w:r>
      <w:r w:rsidRPr="000816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64F6A">
        <w:rPr>
          <w:rFonts w:ascii="Times New Roman" w:hAnsi="Times New Roman" w:cs="Times New Roman"/>
          <w:sz w:val="28"/>
          <w:szCs w:val="28"/>
          <w:lang w:val="en-US"/>
        </w:rPr>
        <w:t>the Sakhalin Region</w:t>
      </w:r>
      <w:r w:rsidRPr="000816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deposits, </w:t>
      </w:r>
      <w:r w:rsidR="007F512A">
        <w:rPr>
          <w:rFonts w:ascii="Times New Roman" w:hAnsi="Times New Roman" w:cs="Times New Roman"/>
          <w:sz w:val="28"/>
          <w:szCs w:val="28"/>
          <w:lang w:val="en-US"/>
        </w:rPr>
        <w:t>indicators of bank sphere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3D3D" w:rsidRPr="00963D3D" w:rsidRDefault="00963D3D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661" w:rsidRPr="00480661" w:rsidRDefault="00480661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 обусловлена изменением экономической ситуации в России в течение последних нескольких лет. Так как данные изменения затронули множество сфер экономики, банковский сектор также испытал нас себе влияние различных </w:t>
      </w:r>
      <w:proofErr w:type="gramStart"/>
      <w:r w:rsidRPr="00480661">
        <w:rPr>
          <w:rFonts w:ascii="Times New Roman" w:hAnsi="Times New Roman" w:cs="Times New Roman"/>
          <w:sz w:val="28"/>
          <w:szCs w:val="28"/>
        </w:rPr>
        <w:t>экономических и социальных процессов</w:t>
      </w:r>
      <w:proofErr w:type="gramEnd"/>
      <w:r w:rsidRPr="00480661">
        <w:rPr>
          <w:rFonts w:ascii="Times New Roman" w:hAnsi="Times New Roman" w:cs="Times New Roman"/>
          <w:sz w:val="28"/>
          <w:szCs w:val="28"/>
        </w:rPr>
        <w:t>. Безусловно, различного рода изменения в экономической жизни страны не могут не влиять на региональный уровень экономики и социальной сферы. В данной статье автор рассматривает это влияние на примере изменений показателей деятельности банковского сектора в Сахалинской области.</w:t>
      </w:r>
    </w:p>
    <w:p w:rsidR="00480661" w:rsidRPr="00480661" w:rsidRDefault="00480661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sz w:val="28"/>
          <w:szCs w:val="28"/>
        </w:rPr>
        <w:t>Цель данного исследования – выявить основные тенденции в изменении показателей деятельности банковского сектора Сахалинской области.</w:t>
      </w:r>
    </w:p>
    <w:p w:rsidR="00480661" w:rsidRPr="00480661" w:rsidRDefault="00480661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sz w:val="28"/>
          <w:szCs w:val="28"/>
        </w:rPr>
        <w:t>В ходе исследования был проведен поиск и визуализация данных, характеризующих деятельность банковского сектора в Сахалинской области.</w:t>
      </w:r>
    </w:p>
    <w:p w:rsidR="00480661" w:rsidRPr="00480661" w:rsidRDefault="00480661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661" w:rsidRPr="00480661" w:rsidRDefault="00480661" w:rsidP="00480661">
      <w:pPr>
        <w:spacing w:line="360" w:lineRule="auto"/>
        <w:ind w:left="170" w:right="57"/>
        <w:jc w:val="both"/>
        <w:rPr>
          <w:sz w:val="28"/>
          <w:szCs w:val="28"/>
        </w:rPr>
      </w:pPr>
      <w:r w:rsidRPr="00480661">
        <w:rPr>
          <w:noProof/>
          <w:sz w:val="28"/>
          <w:szCs w:val="28"/>
        </w:rPr>
        <w:drawing>
          <wp:inline distT="0" distB="0" distL="0" distR="0">
            <wp:extent cx="5953125" cy="25812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80661" w:rsidRPr="00963D3D" w:rsidRDefault="00480661" w:rsidP="00480661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sz w:val="24"/>
          <w:szCs w:val="24"/>
        </w:rPr>
      </w:pPr>
      <w:r w:rsidRPr="00963D3D">
        <w:rPr>
          <w:rFonts w:ascii="Times New Roman" w:hAnsi="Times New Roman" w:cs="Times New Roman"/>
          <w:sz w:val="24"/>
          <w:szCs w:val="24"/>
        </w:rPr>
        <w:t>Рис</w:t>
      </w:r>
      <w:r w:rsidR="003C1DCC" w:rsidRPr="00963D3D">
        <w:rPr>
          <w:rFonts w:ascii="Times New Roman" w:hAnsi="Times New Roman" w:cs="Times New Roman"/>
          <w:sz w:val="24"/>
          <w:szCs w:val="24"/>
        </w:rPr>
        <w:t xml:space="preserve">унок 1 – </w:t>
      </w:r>
      <w:r w:rsidRPr="00963D3D">
        <w:rPr>
          <w:rFonts w:ascii="Times New Roman" w:hAnsi="Times New Roman" w:cs="Times New Roman"/>
          <w:sz w:val="24"/>
          <w:szCs w:val="24"/>
        </w:rPr>
        <w:t>Объем привлеченных вкладов (депозитов) физических лиц в Сахалинской области</w:t>
      </w:r>
    </w:p>
    <w:p w:rsidR="00963D3D" w:rsidRPr="003C1DCC" w:rsidRDefault="00963D3D" w:rsidP="00480661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480661" w:rsidRDefault="00480661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периода с января 2005 года по сентябрь 2016 года объемы привлеченных вкладов жителей Сахалинской области неоднократно увеличивались и возрастали. Однако в целом за рассматриваемый период происходит рост объемов привлеченных депозитов. В конце 2011 года наблюдался резкий рост данного показателя деятельности банковского сектора Сахалинской области. [1] Данное явление можно объяснить резким ростом доллара в сентябре-октябре 2011 года, что подтолкнуло население массово и в крупных размерах создавать вклады в банках. Сберегательные мотивы могут появиться и под влиянием других внешних причин. Среди них основной представляется выгодность. В этом случае сбережения становятся самостоятельным источником денежных доходов населения, или рентными сбережениями. Чем больше вложено в сбережения в этом году, тем больше будут денежные доходы населения в последующие годы. </w:t>
      </w:r>
      <w:r w:rsidRPr="00480661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480661">
        <w:rPr>
          <w:rFonts w:ascii="Times New Roman" w:hAnsi="Times New Roman" w:cs="Times New Roman"/>
          <w:sz w:val="28"/>
          <w:szCs w:val="28"/>
        </w:rPr>
        <w:t>2</w:t>
      </w:r>
      <w:r w:rsidRPr="00480661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963D3D" w:rsidRPr="00963D3D" w:rsidRDefault="00963D3D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661" w:rsidRPr="00480661" w:rsidRDefault="00480661" w:rsidP="003C1DCC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sz w:val="28"/>
          <w:szCs w:val="28"/>
        </w:rPr>
        <w:t xml:space="preserve">Таблица 1 – Среднегодовые размеры вкладов в Сахалинской области, </w:t>
      </w:r>
      <w:proofErr w:type="gramStart"/>
      <w:r w:rsidRPr="00480661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480661">
        <w:rPr>
          <w:rFonts w:ascii="Times New Roman" w:hAnsi="Times New Roman" w:cs="Times New Roman"/>
          <w:sz w:val="28"/>
          <w:szCs w:val="28"/>
        </w:rPr>
        <w:t xml:space="preserve"> руб.</w:t>
      </w:r>
    </w:p>
    <w:tbl>
      <w:tblPr>
        <w:tblStyle w:val="a4"/>
        <w:tblW w:w="5000" w:type="pct"/>
        <w:tblInd w:w="250" w:type="dxa"/>
        <w:tblLook w:val="04A0" w:firstRow="1" w:lastRow="0" w:firstColumn="1" w:lastColumn="0" w:noHBand="0" w:noVBand="1"/>
      </w:tblPr>
      <w:tblGrid>
        <w:gridCol w:w="1408"/>
        <w:gridCol w:w="846"/>
        <w:gridCol w:w="850"/>
        <w:gridCol w:w="845"/>
        <w:gridCol w:w="844"/>
        <w:gridCol w:w="845"/>
        <w:gridCol w:w="844"/>
        <w:gridCol w:w="844"/>
        <w:gridCol w:w="840"/>
        <w:gridCol w:w="844"/>
        <w:gridCol w:w="844"/>
      </w:tblGrid>
      <w:tr w:rsidR="00480661" w:rsidRPr="00480661" w:rsidTr="003C1DCC">
        <w:tc>
          <w:tcPr>
            <w:tcW w:w="714" w:type="pct"/>
          </w:tcPr>
          <w:p w:rsidR="00480661" w:rsidRPr="003C1DCC" w:rsidRDefault="00480661" w:rsidP="003C1DC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29" w:type="pct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31" w:type="pct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29" w:type="pct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28" w:type="pct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9" w:type="pct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28" w:type="pct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28" w:type="pct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26" w:type="pct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28" w:type="pct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28" w:type="pct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80661" w:rsidRPr="00480661" w:rsidTr="003C1DCC">
        <w:tc>
          <w:tcPr>
            <w:tcW w:w="714" w:type="pct"/>
          </w:tcPr>
          <w:p w:rsidR="00480661" w:rsidRPr="003C1DCC" w:rsidRDefault="00480661" w:rsidP="003C1DC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Вклады </w:t>
            </w:r>
            <w:proofErr w:type="spellStart"/>
            <w:r w:rsidRPr="003C1DCC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среднегод</w:t>
            </w:r>
            <w:proofErr w:type="spellEnd"/>
            <w:r w:rsidRPr="003C1D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9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16983</w:t>
            </w:r>
          </w:p>
        </w:tc>
        <w:tc>
          <w:tcPr>
            <w:tcW w:w="431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20139</w:t>
            </w:r>
          </w:p>
        </w:tc>
        <w:tc>
          <w:tcPr>
            <w:tcW w:w="429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20605</w:t>
            </w:r>
          </w:p>
        </w:tc>
        <w:tc>
          <w:tcPr>
            <w:tcW w:w="428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26701</w:t>
            </w:r>
          </w:p>
        </w:tc>
        <w:tc>
          <w:tcPr>
            <w:tcW w:w="429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29956</w:t>
            </w:r>
          </w:p>
        </w:tc>
        <w:tc>
          <w:tcPr>
            <w:tcW w:w="428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50689</w:t>
            </w:r>
          </w:p>
        </w:tc>
        <w:tc>
          <w:tcPr>
            <w:tcW w:w="428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63052</w:t>
            </w:r>
          </w:p>
        </w:tc>
        <w:tc>
          <w:tcPr>
            <w:tcW w:w="426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71031</w:t>
            </w:r>
          </w:p>
        </w:tc>
        <w:tc>
          <w:tcPr>
            <w:tcW w:w="428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82348</w:t>
            </w:r>
          </w:p>
        </w:tc>
        <w:tc>
          <w:tcPr>
            <w:tcW w:w="428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95700</w:t>
            </w:r>
          </w:p>
        </w:tc>
      </w:tr>
      <w:tr w:rsidR="00480661" w:rsidRPr="00480661" w:rsidTr="003C1DCC">
        <w:tc>
          <w:tcPr>
            <w:tcW w:w="714" w:type="pct"/>
          </w:tcPr>
          <w:p w:rsidR="00480661" w:rsidRPr="003C1DCC" w:rsidRDefault="00480661" w:rsidP="003C1DC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1DCC">
              <w:rPr>
                <w:rFonts w:ascii="Times New Roman" w:hAnsi="Times New Roman" w:cs="Times New Roman"/>
                <w:b/>
                <w:sz w:val="24"/>
                <w:szCs w:val="24"/>
              </w:rPr>
              <w:t>Абс</w:t>
            </w:r>
            <w:proofErr w:type="spellEnd"/>
            <w:r w:rsidRPr="003C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3C1DCC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="003C1D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9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3156</w:t>
            </w:r>
          </w:p>
        </w:tc>
        <w:tc>
          <w:tcPr>
            <w:tcW w:w="429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428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</w:p>
        </w:tc>
        <w:tc>
          <w:tcPr>
            <w:tcW w:w="429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3255</w:t>
            </w:r>
          </w:p>
        </w:tc>
        <w:tc>
          <w:tcPr>
            <w:tcW w:w="428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20733</w:t>
            </w:r>
          </w:p>
        </w:tc>
        <w:tc>
          <w:tcPr>
            <w:tcW w:w="428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12363</w:t>
            </w:r>
          </w:p>
        </w:tc>
        <w:tc>
          <w:tcPr>
            <w:tcW w:w="426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7979</w:t>
            </w:r>
          </w:p>
        </w:tc>
        <w:tc>
          <w:tcPr>
            <w:tcW w:w="428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11317</w:t>
            </w:r>
          </w:p>
        </w:tc>
        <w:tc>
          <w:tcPr>
            <w:tcW w:w="428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13352</w:t>
            </w:r>
          </w:p>
        </w:tc>
      </w:tr>
      <w:tr w:rsidR="00480661" w:rsidRPr="00480661" w:rsidTr="003C1DCC">
        <w:tc>
          <w:tcPr>
            <w:tcW w:w="714" w:type="pct"/>
          </w:tcPr>
          <w:p w:rsidR="00480661" w:rsidRPr="003C1DCC" w:rsidRDefault="00480661" w:rsidP="003C1DC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b/>
                <w:sz w:val="24"/>
                <w:szCs w:val="24"/>
              </w:rPr>
              <w:t>Темпы роста</w:t>
            </w:r>
            <w:r w:rsidR="003C1DCC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429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480661" w:rsidRPr="003C1DCC" w:rsidRDefault="003C1DCC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429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428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129,6</w:t>
            </w:r>
          </w:p>
        </w:tc>
        <w:tc>
          <w:tcPr>
            <w:tcW w:w="429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428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169,2</w:t>
            </w:r>
          </w:p>
        </w:tc>
        <w:tc>
          <w:tcPr>
            <w:tcW w:w="428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426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428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  <w:tc>
          <w:tcPr>
            <w:tcW w:w="428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480661" w:rsidRPr="00480661" w:rsidTr="003C1DCC">
        <w:tc>
          <w:tcPr>
            <w:tcW w:w="714" w:type="pct"/>
          </w:tcPr>
          <w:p w:rsidR="00480661" w:rsidRPr="003C1DCC" w:rsidRDefault="00480661" w:rsidP="003C1DC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b/>
                <w:sz w:val="24"/>
                <w:szCs w:val="24"/>
              </w:rPr>
              <w:t>Темпы прироста</w:t>
            </w:r>
            <w:r w:rsidR="003C1DCC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429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429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28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429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428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428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426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428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428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</w:tbl>
    <w:p w:rsidR="00480661" w:rsidRPr="00480661" w:rsidRDefault="00480661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661" w:rsidRPr="00480661" w:rsidRDefault="00480661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sz w:val="28"/>
          <w:szCs w:val="28"/>
        </w:rPr>
        <w:t>Наиболее высокие темпы прироста наблюдались в 2010 и в 2012 году. В период с 2013 по 2014 год наблюдался спад в темпах прироста, однако в течение последних двух лет наблюдается повышение данного показателя.</w:t>
      </w:r>
    </w:p>
    <w:p w:rsidR="00480661" w:rsidRPr="00480661" w:rsidRDefault="00480661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sz w:val="28"/>
          <w:szCs w:val="28"/>
        </w:rPr>
        <w:t xml:space="preserve">В Сахалинской области функционируют местные кредитные организации, а также филиалы крупных банков. Распределение вкладов </w:t>
      </w:r>
      <w:r w:rsidRPr="00480661">
        <w:rPr>
          <w:rFonts w:ascii="Times New Roman" w:hAnsi="Times New Roman" w:cs="Times New Roman"/>
          <w:sz w:val="28"/>
          <w:szCs w:val="28"/>
        </w:rPr>
        <w:lastRenderedPageBreak/>
        <w:t>физических лиц между местными кредитными организациями и филиалами достаточно неравномерное.[3]</w:t>
      </w:r>
    </w:p>
    <w:p w:rsidR="00480661" w:rsidRPr="00480661" w:rsidRDefault="00480661" w:rsidP="00480661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3125" cy="241935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0661" w:rsidRDefault="003C1DCC" w:rsidP="00480661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sz w:val="24"/>
          <w:szCs w:val="24"/>
        </w:rPr>
      </w:pPr>
      <w:r w:rsidRPr="00963D3D">
        <w:rPr>
          <w:rFonts w:ascii="Times New Roman" w:hAnsi="Times New Roman" w:cs="Times New Roman"/>
          <w:sz w:val="24"/>
          <w:szCs w:val="24"/>
        </w:rPr>
        <w:t>Рисунок  2</w:t>
      </w:r>
      <w:r w:rsidR="00480661" w:rsidRPr="00963D3D">
        <w:rPr>
          <w:rFonts w:ascii="Times New Roman" w:hAnsi="Times New Roman" w:cs="Times New Roman"/>
          <w:sz w:val="24"/>
          <w:szCs w:val="24"/>
        </w:rPr>
        <w:t xml:space="preserve"> – Структура вкладов (депозитов) физических лиц в Сахалинской области</w:t>
      </w:r>
    </w:p>
    <w:p w:rsidR="00963D3D" w:rsidRPr="00963D3D" w:rsidRDefault="00963D3D" w:rsidP="00480661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480661" w:rsidRDefault="00480661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sz w:val="28"/>
          <w:szCs w:val="28"/>
        </w:rPr>
        <w:t>Наибольший удельный вес вкладов жителей региона приходится на ПАО «Сбербанк». Как правило, удельный вес вкладов физических лиц Сахалинской области в филиалах данной кредитной организации в среднем составляет около 30% от общей суммы вкладов. Данный процесс обусловлен желанием жителей региона вкладывать средства в более надежные банки, которые имеют достаточно крупную сеть филиалов не только в Сахалинской области, но и по всей России.</w:t>
      </w:r>
    </w:p>
    <w:p w:rsidR="00963D3D" w:rsidRPr="00480661" w:rsidRDefault="00963D3D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661" w:rsidRPr="00480661" w:rsidRDefault="00480661" w:rsidP="003C1DCC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sz w:val="28"/>
          <w:szCs w:val="28"/>
        </w:rPr>
        <w:t>Таблица 2 – Расчет показателя количества кредитных организаций и филиалов на 1 тыс. человек населения</w:t>
      </w:r>
    </w:p>
    <w:tbl>
      <w:tblPr>
        <w:tblStyle w:val="a4"/>
        <w:tblW w:w="9356" w:type="dxa"/>
        <w:tblInd w:w="250" w:type="dxa"/>
        <w:tblLook w:val="04A0" w:firstRow="1" w:lastRow="0" w:firstColumn="1" w:lastColumn="0" w:noHBand="0" w:noVBand="1"/>
      </w:tblPr>
      <w:tblGrid>
        <w:gridCol w:w="1626"/>
        <w:gridCol w:w="1261"/>
        <w:gridCol w:w="1124"/>
        <w:gridCol w:w="1093"/>
        <w:gridCol w:w="1017"/>
        <w:gridCol w:w="987"/>
        <w:gridCol w:w="1124"/>
        <w:gridCol w:w="1124"/>
      </w:tblGrid>
      <w:tr w:rsidR="00480661" w:rsidRPr="00480661" w:rsidTr="00C72ED3">
        <w:tc>
          <w:tcPr>
            <w:tcW w:w="1559" w:type="dxa"/>
          </w:tcPr>
          <w:p w:rsidR="00480661" w:rsidRPr="003C1DCC" w:rsidRDefault="00480661" w:rsidP="003C1D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02" w:type="dxa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24" w:type="dxa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80661" w:rsidRPr="00480661" w:rsidTr="003C1DCC">
        <w:tc>
          <w:tcPr>
            <w:tcW w:w="1559" w:type="dxa"/>
          </w:tcPr>
          <w:p w:rsidR="00480661" w:rsidRPr="003C1DCC" w:rsidRDefault="00480661" w:rsidP="003C1D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b/>
                <w:sz w:val="24"/>
                <w:szCs w:val="24"/>
              </w:rPr>
              <w:t>Число организаций и филиалов</w:t>
            </w:r>
          </w:p>
        </w:tc>
        <w:tc>
          <w:tcPr>
            <w:tcW w:w="1276" w:type="dxa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2" w:type="dxa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4" w:type="dxa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0661" w:rsidRPr="00480661" w:rsidTr="003C1DCC">
        <w:tc>
          <w:tcPr>
            <w:tcW w:w="1559" w:type="dxa"/>
          </w:tcPr>
          <w:p w:rsidR="00480661" w:rsidRPr="003C1DCC" w:rsidRDefault="00480661" w:rsidP="003C1D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населения, тыс. чел.</w:t>
            </w:r>
          </w:p>
        </w:tc>
        <w:tc>
          <w:tcPr>
            <w:tcW w:w="1276" w:type="dxa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1134" w:type="dxa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02" w:type="dxa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495,4</w:t>
            </w:r>
          </w:p>
        </w:tc>
        <w:tc>
          <w:tcPr>
            <w:tcW w:w="1024" w:type="dxa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493,3</w:t>
            </w:r>
          </w:p>
        </w:tc>
        <w:tc>
          <w:tcPr>
            <w:tcW w:w="993" w:type="dxa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491,0</w:t>
            </w:r>
          </w:p>
        </w:tc>
        <w:tc>
          <w:tcPr>
            <w:tcW w:w="1134" w:type="dxa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488,4</w:t>
            </w:r>
          </w:p>
        </w:tc>
        <w:tc>
          <w:tcPr>
            <w:tcW w:w="1134" w:type="dxa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487,3</w:t>
            </w:r>
          </w:p>
        </w:tc>
      </w:tr>
      <w:tr w:rsidR="00480661" w:rsidRPr="00480661" w:rsidTr="003C1DCC">
        <w:tc>
          <w:tcPr>
            <w:tcW w:w="1559" w:type="dxa"/>
          </w:tcPr>
          <w:p w:rsidR="00480661" w:rsidRPr="003C1DCC" w:rsidRDefault="00480661" w:rsidP="003C1D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276" w:type="dxa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1134" w:type="dxa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1102" w:type="dxa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1024" w:type="dxa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993" w:type="dxa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1134" w:type="dxa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  <w:tc>
          <w:tcPr>
            <w:tcW w:w="1134" w:type="dxa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</w:tr>
    </w:tbl>
    <w:p w:rsidR="00480661" w:rsidRPr="00480661" w:rsidRDefault="00480661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661" w:rsidRPr="00480661" w:rsidRDefault="00480661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sz w:val="28"/>
          <w:szCs w:val="28"/>
        </w:rPr>
        <w:lastRenderedPageBreak/>
        <w:t>В течение рассматриваемого периода количество кредитных организаций и численность  населения  постоянно  уменьшаются.  Однако, число организаций и филиалов</w:t>
      </w:r>
    </w:p>
    <w:p w:rsidR="00480661" w:rsidRPr="00480661" w:rsidRDefault="00480661" w:rsidP="00480661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sz w:val="28"/>
          <w:szCs w:val="28"/>
        </w:rPr>
        <w:t>сокращается быстрее, чем количество населения. В связи с этим количество кредитных организаций на 1 тыс. человек населения постепенно сокращается.</w:t>
      </w:r>
    </w:p>
    <w:p w:rsidR="00480661" w:rsidRDefault="00480661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48066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0661">
        <w:rPr>
          <w:rFonts w:ascii="Times New Roman" w:hAnsi="Times New Roman" w:cs="Times New Roman"/>
          <w:sz w:val="28"/>
          <w:szCs w:val="28"/>
        </w:rPr>
        <w:t xml:space="preserve"> чтобы определить влияние инфляции на сбережения граждан, рассчитаем индекс реального роста вкладов.</w:t>
      </w:r>
      <w:r w:rsidR="00FD1207">
        <w:rPr>
          <w:rFonts w:ascii="Times New Roman" w:hAnsi="Times New Roman" w:cs="Times New Roman"/>
          <w:sz w:val="28"/>
          <w:szCs w:val="28"/>
        </w:rPr>
        <w:t xml:space="preserve"> С его помощью можно определить, как изменялось соотношение темпов роста вкладов</w:t>
      </w:r>
      <w:r w:rsidR="00FC7A5A">
        <w:rPr>
          <w:rFonts w:ascii="Times New Roman" w:hAnsi="Times New Roman" w:cs="Times New Roman"/>
          <w:sz w:val="28"/>
          <w:szCs w:val="28"/>
        </w:rPr>
        <w:t xml:space="preserve"> и индекс потребительских цен, и понять, на сколько рост инфляции обеспечил приро</w:t>
      </w:r>
      <w:proofErr w:type="gramStart"/>
      <w:r w:rsidR="00FC7A5A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="00FC7A5A">
        <w:rPr>
          <w:rFonts w:ascii="Times New Roman" w:hAnsi="Times New Roman" w:cs="Times New Roman"/>
          <w:sz w:val="28"/>
          <w:szCs w:val="28"/>
        </w:rPr>
        <w:t>адов населения Сахалинской области в период с 2010 по 2016 год.</w:t>
      </w:r>
    </w:p>
    <w:p w:rsidR="00963D3D" w:rsidRPr="00480661" w:rsidRDefault="00963D3D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661" w:rsidRPr="00480661" w:rsidRDefault="00480661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sz w:val="28"/>
          <w:szCs w:val="28"/>
        </w:rPr>
        <w:t>Таблица 3 – Расчет индекса реального роста вкладов</w:t>
      </w:r>
    </w:p>
    <w:tbl>
      <w:tblPr>
        <w:tblStyle w:val="a4"/>
        <w:tblW w:w="5000" w:type="pct"/>
        <w:tblInd w:w="250" w:type="dxa"/>
        <w:tblLook w:val="04A0" w:firstRow="1" w:lastRow="0" w:firstColumn="1" w:lastColumn="0" w:noHBand="0" w:noVBand="1"/>
      </w:tblPr>
      <w:tblGrid>
        <w:gridCol w:w="1563"/>
        <w:gridCol w:w="1210"/>
        <w:gridCol w:w="1212"/>
        <w:gridCol w:w="1212"/>
        <w:gridCol w:w="1212"/>
        <w:gridCol w:w="1212"/>
        <w:gridCol w:w="1212"/>
        <w:gridCol w:w="1021"/>
      </w:tblGrid>
      <w:tr w:rsidR="00480661" w:rsidRPr="00480661" w:rsidTr="003C1DCC">
        <w:tc>
          <w:tcPr>
            <w:tcW w:w="793" w:type="pct"/>
          </w:tcPr>
          <w:p w:rsidR="00480661" w:rsidRPr="003C1DCC" w:rsidRDefault="00480661" w:rsidP="003C1DC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14" w:type="pct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615" w:type="pct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615" w:type="pct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615" w:type="pct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615" w:type="pct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615" w:type="pct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518" w:type="pct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</w:tr>
      <w:tr w:rsidR="00480661" w:rsidRPr="00480661" w:rsidTr="003C1DCC">
        <w:tc>
          <w:tcPr>
            <w:tcW w:w="793" w:type="pct"/>
          </w:tcPr>
          <w:p w:rsidR="00480661" w:rsidRPr="003C1DCC" w:rsidRDefault="00480661" w:rsidP="003C1DC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вкладов</w:t>
            </w:r>
            <w:r w:rsidR="003C1DCC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614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129,6</w:t>
            </w:r>
          </w:p>
        </w:tc>
        <w:tc>
          <w:tcPr>
            <w:tcW w:w="615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615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169,2</w:t>
            </w:r>
          </w:p>
        </w:tc>
        <w:tc>
          <w:tcPr>
            <w:tcW w:w="615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615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615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  <w:tc>
          <w:tcPr>
            <w:tcW w:w="518" w:type="pct"/>
            <w:vAlign w:val="center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480661" w:rsidRPr="00480661" w:rsidTr="003C1DCC">
        <w:tc>
          <w:tcPr>
            <w:tcW w:w="793" w:type="pct"/>
          </w:tcPr>
          <w:p w:rsidR="00480661" w:rsidRPr="003C1DCC" w:rsidRDefault="00480661" w:rsidP="003C1DC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b/>
                <w:sz w:val="24"/>
                <w:szCs w:val="24"/>
              </w:rPr>
              <w:t>ИПЦ</w:t>
            </w:r>
            <w:r w:rsidR="003C1DCC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614" w:type="pct"/>
            <w:vAlign w:val="bottom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</w:t>
            </w: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15" w:type="pct"/>
            <w:vAlign w:val="bottom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615" w:type="pct"/>
            <w:vAlign w:val="bottom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</w:t>
            </w: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15" w:type="pct"/>
            <w:vAlign w:val="bottom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</w:t>
            </w: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15" w:type="pct"/>
            <w:vAlign w:val="bottom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</w:t>
            </w: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15" w:type="pct"/>
            <w:vAlign w:val="bottom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518" w:type="pct"/>
            <w:vAlign w:val="bottom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,1</w:t>
            </w:r>
          </w:p>
        </w:tc>
      </w:tr>
      <w:tr w:rsidR="00480661" w:rsidRPr="00480661" w:rsidTr="003C1DCC">
        <w:tc>
          <w:tcPr>
            <w:tcW w:w="793" w:type="pct"/>
          </w:tcPr>
          <w:p w:rsidR="00480661" w:rsidRPr="003C1DCC" w:rsidRDefault="00480661" w:rsidP="003C1DC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1D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C1DC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РРВ</w:t>
            </w:r>
            <w:r w:rsidR="003C1DCC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614" w:type="pct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615" w:type="pct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615" w:type="pct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615" w:type="pct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615" w:type="pct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615" w:type="pct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518" w:type="pct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</w:tbl>
    <w:p w:rsidR="00480661" w:rsidRPr="00480661" w:rsidRDefault="00480661" w:rsidP="00480661">
      <w:pPr>
        <w:spacing w:after="0" w:line="360" w:lineRule="auto"/>
        <w:ind w:left="170" w:right="57"/>
        <w:rPr>
          <w:rFonts w:ascii="Times New Roman" w:hAnsi="Times New Roman" w:cs="Times New Roman"/>
          <w:b/>
          <w:sz w:val="28"/>
          <w:szCs w:val="28"/>
        </w:rPr>
      </w:pPr>
    </w:p>
    <w:p w:rsidR="00480661" w:rsidRPr="00480661" w:rsidRDefault="00480661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sz w:val="28"/>
          <w:szCs w:val="28"/>
        </w:rPr>
        <w:t>На основе</w:t>
      </w:r>
      <w:r w:rsidR="00FC7A5A">
        <w:rPr>
          <w:rFonts w:ascii="Times New Roman" w:hAnsi="Times New Roman" w:cs="Times New Roman"/>
          <w:sz w:val="28"/>
          <w:szCs w:val="28"/>
        </w:rPr>
        <w:t xml:space="preserve"> данных, полученных при расчете индекса реального роста вкладов в таблице</w:t>
      </w:r>
      <w:r w:rsidRPr="00480661">
        <w:rPr>
          <w:rFonts w:ascii="Times New Roman" w:hAnsi="Times New Roman" w:cs="Times New Roman"/>
          <w:sz w:val="28"/>
          <w:szCs w:val="28"/>
        </w:rPr>
        <w:t xml:space="preserve"> 3</w:t>
      </w:r>
      <w:r w:rsidR="00FC7A5A">
        <w:rPr>
          <w:rFonts w:ascii="Times New Roman" w:hAnsi="Times New Roman" w:cs="Times New Roman"/>
          <w:sz w:val="28"/>
          <w:szCs w:val="28"/>
        </w:rPr>
        <w:t>,</w:t>
      </w:r>
      <w:r w:rsidRPr="00480661">
        <w:rPr>
          <w:rFonts w:ascii="Times New Roman" w:hAnsi="Times New Roman" w:cs="Times New Roman"/>
          <w:sz w:val="28"/>
          <w:szCs w:val="28"/>
        </w:rPr>
        <w:t xml:space="preserve"> построим р</w:t>
      </w:r>
      <w:r w:rsidR="003C1DCC">
        <w:rPr>
          <w:rFonts w:ascii="Times New Roman" w:hAnsi="Times New Roman" w:cs="Times New Roman"/>
          <w:sz w:val="28"/>
          <w:szCs w:val="28"/>
        </w:rPr>
        <w:t>исунок 3.</w:t>
      </w:r>
    </w:p>
    <w:p w:rsidR="00480661" w:rsidRPr="00480661" w:rsidRDefault="00480661" w:rsidP="00480661">
      <w:pPr>
        <w:spacing w:after="0" w:line="360" w:lineRule="auto"/>
        <w:ind w:left="170" w:right="57" w:hanging="28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9800" cy="287655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80661" w:rsidRPr="00963D3D" w:rsidRDefault="003C1DCC" w:rsidP="00480661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sz w:val="24"/>
          <w:szCs w:val="24"/>
        </w:rPr>
      </w:pPr>
      <w:r w:rsidRPr="00963D3D">
        <w:rPr>
          <w:rFonts w:ascii="Times New Roman" w:hAnsi="Times New Roman" w:cs="Times New Roman"/>
          <w:sz w:val="24"/>
          <w:szCs w:val="24"/>
        </w:rPr>
        <w:t>Рисунок 3 -</w:t>
      </w:r>
      <w:r w:rsidR="00480661" w:rsidRPr="00963D3D">
        <w:rPr>
          <w:rFonts w:ascii="Times New Roman" w:hAnsi="Times New Roman" w:cs="Times New Roman"/>
          <w:sz w:val="24"/>
          <w:szCs w:val="24"/>
        </w:rPr>
        <w:t xml:space="preserve"> Значения индекса реального роста вкладов</w:t>
      </w:r>
    </w:p>
    <w:p w:rsidR="00480661" w:rsidRDefault="00480661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sz w:val="28"/>
          <w:szCs w:val="28"/>
        </w:rPr>
        <w:lastRenderedPageBreak/>
        <w:t>Ежегодно темпы роста вкладов опережают темпы роста инфляции и в связи с этим значение индекса реального роста вкладов в течение периода с 2010 по 2016 год больше единицы.</w:t>
      </w:r>
    </w:p>
    <w:p w:rsidR="00FC7A5A" w:rsidRPr="00480661" w:rsidRDefault="00FC7A5A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661" w:rsidRPr="00480661" w:rsidRDefault="00480661" w:rsidP="003C1DCC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sz w:val="28"/>
          <w:szCs w:val="28"/>
        </w:rPr>
        <w:t>Таблица 4 – Расчет среднего размера вкладов на одно кредитное учреждение</w:t>
      </w:r>
    </w:p>
    <w:tbl>
      <w:tblPr>
        <w:tblStyle w:val="a4"/>
        <w:tblW w:w="0" w:type="auto"/>
        <w:tblInd w:w="170" w:type="dxa"/>
        <w:tblLook w:val="04A0" w:firstRow="1" w:lastRow="0" w:firstColumn="1" w:lastColumn="0" w:noHBand="0" w:noVBand="1"/>
      </w:tblPr>
      <w:tblGrid>
        <w:gridCol w:w="1529"/>
        <w:gridCol w:w="1165"/>
        <w:gridCol w:w="1165"/>
        <w:gridCol w:w="1165"/>
        <w:gridCol w:w="1165"/>
        <w:gridCol w:w="1165"/>
        <w:gridCol w:w="1165"/>
        <w:gridCol w:w="1165"/>
      </w:tblGrid>
      <w:tr w:rsidR="00480661" w:rsidRPr="00480661" w:rsidTr="00C72ED3">
        <w:tc>
          <w:tcPr>
            <w:tcW w:w="1368" w:type="dxa"/>
          </w:tcPr>
          <w:p w:rsidR="00480661" w:rsidRPr="003C1DCC" w:rsidRDefault="00480661" w:rsidP="003C1D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88" w:type="dxa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88" w:type="dxa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88" w:type="dxa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88" w:type="dxa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88" w:type="dxa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88" w:type="dxa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88" w:type="dxa"/>
          </w:tcPr>
          <w:p w:rsidR="00480661" w:rsidRPr="003C1DCC" w:rsidRDefault="00480661" w:rsidP="003C1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80661" w:rsidRPr="00480661" w:rsidTr="00C72ED3">
        <w:tc>
          <w:tcPr>
            <w:tcW w:w="1368" w:type="dxa"/>
          </w:tcPr>
          <w:p w:rsidR="00480661" w:rsidRPr="003C1DCC" w:rsidRDefault="00480661" w:rsidP="003C1D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b/>
                <w:sz w:val="24"/>
                <w:szCs w:val="24"/>
              </w:rPr>
              <w:t>Сумма вкладов</w:t>
            </w:r>
          </w:p>
        </w:tc>
        <w:tc>
          <w:tcPr>
            <w:tcW w:w="1188" w:type="dxa"/>
            <w:vAlign w:val="bottom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320407,3</w:t>
            </w:r>
          </w:p>
        </w:tc>
        <w:tc>
          <w:tcPr>
            <w:tcW w:w="1188" w:type="dxa"/>
            <w:vAlign w:val="bottom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359466,1</w:t>
            </w:r>
          </w:p>
        </w:tc>
        <w:tc>
          <w:tcPr>
            <w:tcW w:w="1188" w:type="dxa"/>
            <w:vAlign w:val="bottom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608268,9</w:t>
            </w:r>
          </w:p>
        </w:tc>
        <w:tc>
          <w:tcPr>
            <w:tcW w:w="1188" w:type="dxa"/>
            <w:vAlign w:val="bottom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756621,3</w:t>
            </w:r>
          </w:p>
        </w:tc>
        <w:tc>
          <w:tcPr>
            <w:tcW w:w="1188" w:type="dxa"/>
            <w:vAlign w:val="bottom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852370,8</w:t>
            </w:r>
          </w:p>
        </w:tc>
        <w:tc>
          <w:tcPr>
            <w:tcW w:w="1188" w:type="dxa"/>
            <w:vAlign w:val="bottom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988171,9</w:t>
            </w:r>
          </w:p>
        </w:tc>
        <w:tc>
          <w:tcPr>
            <w:tcW w:w="1188" w:type="dxa"/>
            <w:vAlign w:val="bottom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861299,4</w:t>
            </w:r>
          </w:p>
        </w:tc>
      </w:tr>
      <w:tr w:rsidR="00480661" w:rsidRPr="00480661" w:rsidTr="00C72ED3">
        <w:tc>
          <w:tcPr>
            <w:tcW w:w="1368" w:type="dxa"/>
          </w:tcPr>
          <w:p w:rsidR="00480661" w:rsidRPr="003C1DCC" w:rsidRDefault="00480661" w:rsidP="003C1D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b/>
                <w:sz w:val="24"/>
                <w:szCs w:val="24"/>
              </w:rPr>
              <w:t>Число кредитных учреждений</w:t>
            </w:r>
          </w:p>
        </w:tc>
        <w:tc>
          <w:tcPr>
            <w:tcW w:w="1188" w:type="dxa"/>
            <w:vAlign w:val="bottom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8" w:type="dxa"/>
            <w:vAlign w:val="bottom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8" w:type="dxa"/>
            <w:vAlign w:val="bottom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8" w:type="dxa"/>
            <w:vAlign w:val="bottom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8" w:type="dxa"/>
            <w:vAlign w:val="bottom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8" w:type="dxa"/>
            <w:vAlign w:val="bottom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8" w:type="dxa"/>
            <w:vAlign w:val="bottom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0661" w:rsidRPr="00480661" w:rsidTr="00C72ED3">
        <w:trPr>
          <w:trHeight w:val="83"/>
        </w:trPr>
        <w:tc>
          <w:tcPr>
            <w:tcW w:w="1368" w:type="dxa"/>
          </w:tcPr>
          <w:p w:rsidR="00480661" w:rsidRPr="003C1DCC" w:rsidRDefault="003C1DCC" w:rsidP="003C1D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1DCC">
              <w:rPr>
                <w:rFonts w:ascii="Times New Roman" w:hAnsi="Times New Roman" w:cs="Times New Roman"/>
                <w:b/>
                <w:sz w:val="24"/>
                <w:szCs w:val="24"/>
              </w:rPr>
              <w:t>Вкл</w:t>
            </w:r>
            <w:r w:rsidRPr="003C1DC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ср</w:t>
            </w:r>
            <w:proofErr w:type="spellEnd"/>
            <w:r w:rsidRPr="003C1DC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188" w:type="dxa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20025,5</w:t>
            </w:r>
          </w:p>
        </w:tc>
        <w:tc>
          <w:tcPr>
            <w:tcW w:w="1188" w:type="dxa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23964,4</w:t>
            </w:r>
          </w:p>
        </w:tc>
        <w:tc>
          <w:tcPr>
            <w:tcW w:w="1188" w:type="dxa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43447,8</w:t>
            </w:r>
          </w:p>
        </w:tc>
        <w:tc>
          <w:tcPr>
            <w:tcW w:w="1188" w:type="dxa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54044,4</w:t>
            </w:r>
          </w:p>
        </w:tc>
        <w:tc>
          <w:tcPr>
            <w:tcW w:w="1188" w:type="dxa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71030,9</w:t>
            </w:r>
          </w:p>
        </w:tc>
        <w:tc>
          <w:tcPr>
            <w:tcW w:w="1188" w:type="dxa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89833,8</w:t>
            </w:r>
          </w:p>
        </w:tc>
        <w:tc>
          <w:tcPr>
            <w:tcW w:w="1188" w:type="dxa"/>
          </w:tcPr>
          <w:p w:rsidR="00480661" w:rsidRPr="003C1DCC" w:rsidRDefault="00480661" w:rsidP="003C1DC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DCC">
              <w:rPr>
                <w:rFonts w:ascii="Times New Roman" w:hAnsi="Times New Roman" w:cs="Times New Roman"/>
                <w:sz w:val="24"/>
                <w:szCs w:val="24"/>
              </w:rPr>
              <w:t>95699,9</w:t>
            </w:r>
          </w:p>
        </w:tc>
      </w:tr>
    </w:tbl>
    <w:p w:rsidR="00480661" w:rsidRPr="00480661" w:rsidRDefault="00480661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661" w:rsidRPr="00480661" w:rsidRDefault="00480661" w:rsidP="00480661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5525" cy="206692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80661" w:rsidRPr="00963D3D" w:rsidRDefault="00480661" w:rsidP="003C1DCC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sz w:val="24"/>
          <w:szCs w:val="24"/>
        </w:rPr>
      </w:pPr>
      <w:r w:rsidRPr="00963D3D">
        <w:rPr>
          <w:rFonts w:ascii="Times New Roman" w:hAnsi="Times New Roman" w:cs="Times New Roman"/>
          <w:sz w:val="24"/>
          <w:szCs w:val="24"/>
        </w:rPr>
        <w:t>Рис</w:t>
      </w:r>
      <w:r w:rsidR="003C1DCC" w:rsidRPr="00963D3D">
        <w:rPr>
          <w:rFonts w:ascii="Times New Roman" w:hAnsi="Times New Roman" w:cs="Times New Roman"/>
          <w:sz w:val="24"/>
          <w:szCs w:val="24"/>
        </w:rPr>
        <w:t xml:space="preserve">унок 4 – </w:t>
      </w:r>
      <w:r w:rsidRPr="00963D3D">
        <w:rPr>
          <w:rFonts w:ascii="Times New Roman" w:hAnsi="Times New Roman" w:cs="Times New Roman"/>
          <w:sz w:val="24"/>
          <w:szCs w:val="24"/>
        </w:rPr>
        <w:t>Среднедушевой размер вкладов в Сахалинской области</w:t>
      </w:r>
    </w:p>
    <w:p w:rsidR="00963D3D" w:rsidRPr="00480661" w:rsidRDefault="00963D3D" w:rsidP="003C1DCC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480661" w:rsidRPr="00480661" w:rsidRDefault="00480661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sz w:val="28"/>
          <w:szCs w:val="28"/>
        </w:rPr>
        <w:t xml:space="preserve">Ежегодно размер среднедушевых вкладов физических лиц постепенно возрастает в среднем на 300 тыс. руб. Данное явление можно будет объяснить тем, что численность населения в Сахалинской области растет менее быстрыми темпами, чем объемы вкладов (депозитов) физических лиц. В 2015 году значение данного показателя составило 2 020 тыс. руб. </w:t>
      </w:r>
      <w:proofErr w:type="gramStart"/>
      <w:r w:rsidRPr="004806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066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80661" w:rsidRPr="00480661" w:rsidRDefault="00480661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sz w:val="28"/>
          <w:szCs w:val="28"/>
        </w:rPr>
        <w:t xml:space="preserve">В течение 2015 года Центральный банк Российской Федерации лишил множество коммерческих банков лицензий на право осуществления своей основной деятельности. Основные причины для прекращения действия банковских лицензий: существенная недостоверность отчетных данных, </w:t>
      </w:r>
      <w:r w:rsidRPr="0048066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непредусмотренных лицензией операций и прочее.[4] Данный процесс затронул и банковский сектор Сахалинской области. </w:t>
      </w:r>
    </w:p>
    <w:p w:rsidR="00480661" w:rsidRPr="00480661" w:rsidRDefault="00480661" w:rsidP="00480661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62650" cy="16859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80661" w:rsidRDefault="00480661" w:rsidP="00480661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sz w:val="24"/>
          <w:szCs w:val="24"/>
        </w:rPr>
      </w:pPr>
      <w:r w:rsidRPr="00963D3D">
        <w:rPr>
          <w:rFonts w:ascii="Times New Roman" w:hAnsi="Times New Roman" w:cs="Times New Roman"/>
          <w:sz w:val="24"/>
          <w:szCs w:val="24"/>
        </w:rPr>
        <w:t>Рис</w:t>
      </w:r>
      <w:r w:rsidR="003C1DCC" w:rsidRPr="00963D3D">
        <w:rPr>
          <w:rFonts w:ascii="Times New Roman" w:hAnsi="Times New Roman" w:cs="Times New Roman"/>
          <w:sz w:val="24"/>
          <w:szCs w:val="24"/>
        </w:rPr>
        <w:t xml:space="preserve">унок 5 </w:t>
      </w:r>
      <w:r w:rsidR="00044EF6" w:rsidRPr="00963D3D">
        <w:rPr>
          <w:rFonts w:ascii="Times New Roman" w:hAnsi="Times New Roman" w:cs="Times New Roman"/>
          <w:sz w:val="24"/>
          <w:szCs w:val="24"/>
        </w:rPr>
        <w:t xml:space="preserve">– </w:t>
      </w:r>
      <w:r w:rsidRPr="00963D3D">
        <w:rPr>
          <w:rFonts w:ascii="Times New Roman" w:hAnsi="Times New Roman" w:cs="Times New Roman"/>
          <w:sz w:val="24"/>
          <w:szCs w:val="24"/>
        </w:rPr>
        <w:t>Количество кредитных организаций в Сахалинской области (без учета филиалов)</w:t>
      </w:r>
    </w:p>
    <w:p w:rsidR="00963D3D" w:rsidRPr="00963D3D" w:rsidRDefault="00963D3D" w:rsidP="00480661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480661" w:rsidRPr="00480661" w:rsidRDefault="00480661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661">
        <w:rPr>
          <w:rFonts w:ascii="Times New Roman" w:hAnsi="Times New Roman" w:cs="Times New Roman"/>
          <w:sz w:val="28"/>
          <w:szCs w:val="28"/>
        </w:rPr>
        <w:t>За последние 11 лет количество кредитных организаций в Сахалинской области уменьшилось вдвое.</w:t>
      </w:r>
      <w:proofErr w:type="gramEnd"/>
      <w:r w:rsidRPr="004806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661">
        <w:rPr>
          <w:rFonts w:ascii="Times New Roman" w:hAnsi="Times New Roman" w:cs="Times New Roman"/>
          <w:sz w:val="28"/>
          <w:szCs w:val="28"/>
        </w:rPr>
        <w:t>В настоящий момент их всего три: банк «ИТУРУП» (ООО), ЗАО «ХОЛМСКОМБАНК» и КБ «Долинск» (АО).</w:t>
      </w:r>
      <w:proofErr w:type="gramEnd"/>
    </w:p>
    <w:p w:rsidR="00480661" w:rsidRPr="00480661" w:rsidRDefault="00480661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661" w:rsidRPr="00480661" w:rsidRDefault="00480661" w:rsidP="00044EF6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6925" cy="18573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80661" w:rsidRPr="00963D3D" w:rsidRDefault="00480661" w:rsidP="00480661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sz w:val="24"/>
          <w:szCs w:val="24"/>
        </w:rPr>
      </w:pPr>
      <w:r w:rsidRPr="00963D3D">
        <w:rPr>
          <w:rFonts w:ascii="Times New Roman" w:hAnsi="Times New Roman" w:cs="Times New Roman"/>
          <w:sz w:val="24"/>
          <w:szCs w:val="24"/>
        </w:rPr>
        <w:t>Рис</w:t>
      </w:r>
      <w:r w:rsidR="00044EF6" w:rsidRPr="00963D3D">
        <w:rPr>
          <w:rFonts w:ascii="Times New Roman" w:hAnsi="Times New Roman" w:cs="Times New Roman"/>
          <w:sz w:val="24"/>
          <w:szCs w:val="24"/>
        </w:rPr>
        <w:t>унок</w:t>
      </w:r>
      <w:r w:rsidR="00A72821" w:rsidRPr="00963D3D">
        <w:rPr>
          <w:rFonts w:ascii="Times New Roman" w:hAnsi="Times New Roman" w:cs="Times New Roman"/>
          <w:sz w:val="24"/>
          <w:szCs w:val="24"/>
        </w:rPr>
        <w:t xml:space="preserve"> 6</w:t>
      </w:r>
      <w:r w:rsidR="00044EF6" w:rsidRPr="00963D3D">
        <w:rPr>
          <w:rFonts w:ascii="Times New Roman" w:hAnsi="Times New Roman" w:cs="Times New Roman"/>
          <w:sz w:val="24"/>
          <w:szCs w:val="24"/>
        </w:rPr>
        <w:t xml:space="preserve"> –</w:t>
      </w:r>
      <w:r w:rsidRPr="00963D3D">
        <w:rPr>
          <w:rFonts w:ascii="Times New Roman" w:hAnsi="Times New Roman" w:cs="Times New Roman"/>
          <w:sz w:val="24"/>
          <w:szCs w:val="24"/>
        </w:rPr>
        <w:t xml:space="preserve"> Финансовые результаты деятельности кредитных организаций</w:t>
      </w:r>
    </w:p>
    <w:p w:rsidR="00963D3D" w:rsidRPr="00044EF6" w:rsidRDefault="00963D3D" w:rsidP="00480661">
      <w:pPr>
        <w:spacing w:after="0" w:line="360" w:lineRule="auto"/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480661" w:rsidRPr="00480661" w:rsidRDefault="00480661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sz w:val="28"/>
          <w:szCs w:val="28"/>
        </w:rPr>
        <w:t>В течение рассматриваемого периода годовые финансовые результаты деятельности кредитных организаций в 2014 и 2015 гг. представляли собой убытки. В предыдущие годы деятельность кредитных организаций Сахалинской области в совокупности давала положительный финансовый результат.</w:t>
      </w:r>
    </w:p>
    <w:p w:rsidR="00480661" w:rsidRDefault="00480661" w:rsidP="00480661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sz w:val="28"/>
          <w:szCs w:val="28"/>
        </w:rPr>
        <w:t xml:space="preserve">В течение периода с 2005 по 2016 год суммы вкладов физических лиц в кредитных организациях Сахалинской области возрастают. Это является </w:t>
      </w:r>
      <w:r w:rsidRPr="00480661">
        <w:rPr>
          <w:rFonts w:ascii="Times New Roman" w:hAnsi="Times New Roman" w:cs="Times New Roman"/>
          <w:sz w:val="28"/>
          <w:szCs w:val="28"/>
        </w:rPr>
        <w:lastRenderedPageBreak/>
        <w:t>следствием желания людей уберечь свои денежные средства от роста инфляции и увеличить свои денежные средства для будущих периодов, так как в настоящий момент их невыгодно тратить. Данное явление связано с ростом валютных курсов и высоким уровнем инфляции. Количество кредитных организаций в Сахалинской области уменьшается в связи с политикой ЦБ РФ, направленной на ликвидацию банков, деятельность которых ведется неэффективно и неоткрыто.</w:t>
      </w:r>
    </w:p>
    <w:p w:rsidR="00963D3D" w:rsidRDefault="00963D3D" w:rsidP="00963D3D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821" w:rsidRPr="00963D3D" w:rsidRDefault="00963D3D" w:rsidP="00963D3D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80661" w:rsidRPr="00480661" w:rsidRDefault="00480661" w:rsidP="00480661">
      <w:pPr>
        <w:pStyle w:val="a3"/>
        <w:numPr>
          <w:ilvl w:val="0"/>
          <w:numId w:val="1"/>
        </w:numPr>
        <w:spacing w:after="0" w:line="360" w:lineRule="auto"/>
        <w:ind w:left="170" w:right="57" w:firstLine="879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sz w:val="28"/>
          <w:szCs w:val="28"/>
        </w:rPr>
        <w:t>Краткосрочные экономические показатели Сахалинской области</w:t>
      </w:r>
      <w:r w:rsidR="00963D3D">
        <w:rPr>
          <w:rFonts w:ascii="Times New Roman" w:hAnsi="Times New Roman" w:cs="Times New Roman"/>
          <w:sz w:val="28"/>
          <w:szCs w:val="28"/>
        </w:rPr>
        <w:t xml:space="preserve"> </w:t>
      </w:r>
      <w:r w:rsidRPr="00480661">
        <w:rPr>
          <w:rFonts w:ascii="Times New Roman" w:hAnsi="Times New Roman" w:cs="Times New Roman"/>
          <w:sz w:val="28"/>
          <w:szCs w:val="28"/>
        </w:rPr>
        <w:t>//</w:t>
      </w:r>
      <w:r w:rsidR="00963D3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80661">
        <w:rPr>
          <w:rFonts w:ascii="Times New Roman" w:hAnsi="Times New Roman" w:cs="Times New Roman"/>
          <w:sz w:val="28"/>
          <w:szCs w:val="28"/>
        </w:rPr>
        <w:t>Сахалинстат [Электронный ресурс]. Режим доступа - http://www.gks.ru/region/ind1164/Main.htm</w:t>
      </w:r>
    </w:p>
    <w:p w:rsidR="00480661" w:rsidRPr="00480661" w:rsidRDefault="00480661" w:rsidP="00480661">
      <w:pPr>
        <w:pStyle w:val="a3"/>
        <w:numPr>
          <w:ilvl w:val="0"/>
          <w:numId w:val="1"/>
        </w:numPr>
        <w:spacing w:after="0" w:line="360" w:lineRule="auto"/>
        <w:ind w:left="170" w:right="57" w:firstLine="87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661">
        <w:rPr>
          <w:rFonts w:ascii="Times New Roman" w:hAnsi="Times New Roman" w:cs="Times New Roman"/>
          <w:sz w:val="28"/>
          <w:szCs w:val="28"/>
        </w:rPr>
        <w:t>Каврук</w:t>
      </w:r>
      <w:proofErr w:type="spellEnd"/>
      <w:r w:rsidRPr="00480661">
        <w:rPr>
          <w:rFonts w:ascii="Times New Roman" w:hAnsi="Times New Roman" w:cs="Times New Roman"/>
          <w:sz w:val="28"/>
          <w:szCs w:val="28"/>
        </w:rPr>
        <w:t xml:space="preserve">, Е.С. Факторы, влияющие на сберегательное поведение населения и снижение сбережений населения в условиях кризиса / </w:t>
      </w:r>
      <w:proofErr w:type="spellStart"/>
      <w:r w:rsidRPr="00480661">
        <w:rPr>
          <w:rFonts w:ascii="Times New Roman" w:hAnsi="Times New Roman" w:cs="Times New Roman"/>
          <w:sz w:val="28"/>
          <w:szCs w:val="28"/>
        </w:rPr>
        <w:t>Е.С.Каврук</w:t>
      </w:r>
      <w:proofErr w:type="spellEnd"/>
      <w:r w:rsidRPr="00480661">
        <w:rPr>
          <w:rFonts w:ascii="Times New Roman" w:hAnsi="Times New Roman" w:cs="Times New Roman"/>
          <w:sz w:val="28"/>
          <w:szCs w:val="28"/>
        </w:rPr>
        <w:t xml:space="preserve"> // Научный журнал </w:t>
      </w:r>
      <w:proofErr w:type="spellStart"/>
      <w:r w:rsidRPr="00480661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480661">
        <w:rPr>
          <w:rFonts w:ascii="Times New Roman" w:hAnsi="Times New Roman" w:cs="Times New Roman"/>
          <w:sz w:val="28"/>
          <w:szCs w:val="28"/>
        </w:rPr>
        <w:t>. – 2010. - №56(02). – С. 5.</w:t>
      </w:r>
    </w:p>
    <w:p w:rsidR="00480661" w:rsidRPr="00480661" w:rsidRDefault="00480661" w:rsidP="00480661">
      <w:pPr>
        <w:pStyle w:val="a3"/>
        <w:numPr>
          <w:ilvl w:val="0"/>
          <w:numId w:val="1"/>
        </w:numPr>
        <w:spacing w:after="0" w:line="360" w:lineRule="auto"/>
        <w:ind w:left="170" w:right="57" w:firstLine="879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sz w:val="28"/>
          <w:szCs w:val="28"/>
        </w:rPr>
        <w:t>Официальный сайт ЦБ РФ / Региональный раздел: Сахалинская область [Электронный ресурс]. Режим доступа - http://cbr.ru/region/info/sah-o/contacts/</w:t>
      </w:r>
    </w:p>
    <w:p w:rsidR="00480661" w:rsidRPr="00480661" w:rsidRDefault="00480661" w:rsidP="00480661">
      <w:pPr>
        <w:pStyle w:val="a3"/>
        <w:numPr>
          <w:ilvl w:val="0"/>
          <w:numId w:val="1"/>
        </w:numPr>
        <w:spacing w:after="0" w:line="360" w:lineRule="auto"/>
        <w:ind w:left="170" w:right="57" w:firstLine="879"/>
        <w:jc w:val="both"/>
        <w:rPr>
          <w:rFonts w:ascii="Times New Roman" w:hAnsi="Times New Roman" w:cs="Times New Roman"/>
          <w:sz w:val="28"/>
          <w:szCs w:val="28"/>
        </w:rPr>
      </w:pPr>
      <w:r w:rsidRPr="00480661">
        <w:rPr>
          <w:rFonts w:ascii="Times New Roman" w:hAnsi="Times New Roman" w:cs="Times New Roman"/>
          <w:sz w:val="28"/>
          <w:szCs w:val="28"/>
        </w:rPr>
        <w:t>Пахомова С.А. Основания для отзыва банковской лицензии в Российской Федерации // Молодой ученый. – 2015. - №24. – С.526-529.</w:t>
      </w:r>
    </w:p>
    <w:p w:rsidR="006C1A72" w:rsidRPr="00480661" w:rsidRDefault="006C1A72" w:rsidP="00480661">
      <w:pPr>
        <w:spacing w:line="360" w:lineRule="auto"/>
        <w:ind w:left="170" w:right="57"/>
        <w:rPr>
          <w:sz w:val="28"/>
          <w:szCs w:val="28"/>
        </w:rPr>
      </w:pPr>
    </w:p>
    <w:sectPr w:rsidR="006C1A72" w:rsidRPr="00480661" w:rsidSect="00C72ED3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57" w:rsidRDefault="00835157" w:rsidP="00A72821">
      <w:pPr>
        <w:spacing w:after="0" w:line="240" w:lineRule="auto"/>
      </w:pPr>
      <w:r>
        <w:separator/>
      </w:r>
    </w:p>
  </w:endnote>
  <w:endnote w:type="continuationSeparator" w:id="0">
    <w:p w:rsidR="00835157" w:rsidRDefault="00835157" w:rsidP="00A7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21" w:rsidRDefault="00A728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57" w:rsidRDefault="00835157" w:rsidP="00A72821">
      <w:pPr>
        <w:spacing w:after="0" w:line="240" w:lineRule="auto"/>
      </w:pPr>
      <w:r>
        <w:separator/>
      </w:r>
    </w:p>
  </w:footnote>
  <w:footnote w:type="continuationSeparator" w:id="0">
    <w:p w:rsidR="00835157" w:rsidRDefault="00835157" w:rsidP="00A72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1DE9"/>
    <w:multiLevelType w:val="hybridMultilevel"/>
    <w:tmpl w:val="F3AEF232"/>
    <w:lvl w:ilvl="0" w:tplc="301CE926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0661"/>
    <w:rsid w:val="00044EF6"/>
    <w:rsid w:val="00065459"/>
    <w:rsid w:val="00081663"/>
    <w:rsid w:val="00263EC3"/>
    <w:rsid w:val="0039182F"/>
    <w:rsid w:val="003C1DCC"/>
    <w:rsid w:val="004524A7"/>
    <w:rsid w:val="00480661"/>
    <w:rsid w:val="004A4E13"/>
    <w:rsid w:val="004C3A59"/>
    <w:rsid w:val="004D3792"/>
    <w:rsid w:val="005226ED"/>
    <w:rsid w:val="005607F1"/>
    <w:rsid w:val="00594632"/>
    <w:rsid w:val="00656D7F"/>
    <w:rsid w:val="006C1A72"/>
    <w:rsid w:val="00731772"/>
    <w:rsid w:val="007851E0"/>
    <w:rsid w:val="007F512A"/>
    <w:rsid w:val="00835157"/>
    <w:rsid w:val="009555FF"/>
    <w:rsid w:val="00963D3D"/>
    <w:rsid w:val="009B7ABF"/>
    <w:rsid w:val="00A72821"/>
    <w:rsid w:val="00C72ED3"/>
    <w:rsid w:val="00D64656"/>
    <w:rsid w:val="00DD2683"/>
    <w:rsid w:val="00F16604"/>
    <w:rsid w:val="00F34D40"/>
    <w:rsid w:val="00FC7A5A"/>
    <w:rsid w:val="00F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66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806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72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2821"/>
  </w:style>
  <w:style w:type="paragraph" w:styleId="a9">
    <w:name w:val="footer"/>
    <w:basedOn w:val="a"/>
    <w:link w:val="aa"/>
    <w:uiPriority w:val="99"/>
    <w:unhideWhenUsed/>
    <w:rsid w:val="00A72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2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21505376344148"/>
          <c:y val="4.3650793650793794E-2"/>
          <c:w val="0.85812903225807113"/>
          <c:h val="0.6616469816272966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numRef>
              <c:f>Лист1!$A$2:$A$143</c:f>
              <c:numCache>
                <c:formatCode>mmm/yy</c:formatCode>
                <c:ptCount val="142"/>
                <c:pt idx="0">
                  <c:v>38353</c:v>
                </c:pt>
                <c:pt idx="1">
                  <c:v>38384</c:v>
                </c:pt>
                <c:pt idx="2">
                  <c:v>38412</c:v>
                </c:pt>
                <c:pt idx="3">
                  <c:v>38443</c:v>
                </c:pt>
                <c:pt idx="4">
                  <c:v>38473</c:v>
                </c:pt>
                <c:pt idx="5">
                  <c:v>38504</c:v>
                </c:pt>
                <c:pt idx="6">
                  <c:v>38534</c:v>
                </c:pt>
                <c:pt idx="7">
                  <c:v>38565</c:v>
                </c:pt>
                <c:pt idx="8">
                  <c:v>38596</c:v>
                </c:pt>
                <c:pt idx="9">
                  <c:v>38626</c:v>
                </c:pt>
                <c:pt idx="10">
                  <c:v>38657</c:v>
                </c:pt>
                <c:pt idx="11">
                  <c:v>38687</c:v>
                </c:pt>
                <c:pt idx="12">
                  <c:v>38718</c:v>
                </c:pt>
                <c:pt idx="13">
                  <c:v>38749</c:v>
                </c:pt>
                <c:pt idx="14">
                  <c:v>38777</c:v>
                </c:pt>
                <c:pt idx="15">
                  <c:v>38808</c:v>
                </c:pt>
                <c:pt idx="16">
                  <c:v>38838</c:v>
                </c:pt>
                <c:pt idx="17">
                  <c:v>38869</c:v>
                </c:pt>
                <c:pt idx="18">
                  <c:v>38899</c:v>
                </c:pt>
                <c:pt idx="19">
                  <c:v>38930</c:v>
                </c:pt>
                <c:pt idx="20">
                  <c:v>38961</c:v>
                </c:pt>
                <c:pt idx="21">
                  <c:v>38991</c:v>
                </c:pt>
                <c:pt idx="22">
                  <c:v>39022</c:v>
                </c:pt>
                <c:pt idx="23">
                  <c:v>39052</c:v>
                </c:pt>
                <c:pt idx="24">
                  <c:v>39083</c:v>
                </c:pt>
                <c:pt idx="25">
                  <c:v>39114</c:v>
                </c:pt>
                <c:pt idx="26">
                  <c:v>39142</c:v>
                </c:pt>
                <c:pt idx="27">
                  <c:v>39173</c:v>
                </c:pt>
                <c:pt idx="28">
                  <c:v>39203</c:v>
                </c:pt>
                <c:pt idx="29">
                  <c:v>39234</c:v>
                </c:pt>
                <c:pt idx="30">
                  <c:v>39264</c:v>
                </c:pt>
                <c:pt idx="31">
                  <c:v>39295</c:v>
                </c:pt>
                <c:pt idx="32">
                  <c:v>39326</c:v>
                </c:pt>
                <c:pt idx="33">
                  <c:v>39356</c:v>
                </c:pt>
                <c:pt idx="34">
                  <c:v>39387</c:v>
                </c:pt>
                <c:pt idx="35">
                  <c:v>39417</c:v>
                </c:pt>
                <c:pt idx="36">
                  <c:v>39448</c:v>
                </c:pt>
                <c:pt idx="37">
                  <c:v>39479</c:v>
                </c:pt>
                <c:pt idx="38">
                  <c:v>39508</c:v>
                </c:pt>
                <c:pt idx="39">
                  <c:v>39539</c:v>
                </c:pt>
                <c:pt idx="40">
                  <c:v>39569</c:v>
                </c:pt>
                <c:pt idx="41">
                  <c:v>39600</c:v>
                </c:pt>
                <c:pt idx="42">
                  <c:v>39630</c:v>
                </c:pt>
                <c:pt idx="43">
                  <c:v>39661</c:v>
                </c:pt>
                <c:pt idx="44">
                  <c:v>39692</c:v>
                </c:pt>
                <c:pt idx="45">
                  <c:v>39722</c:v>
                </c:pt>
                <c:pt idx="46">
                  <c:v>39753</c:v>
                </c:pt>
                <c:pt idx="47">
                  <c:v>39783</c:v>
                </c:pt>
                <c:pt idx="48">
                  <c:v>39814</c:v>
                </c:pt>
                <c:pt idx="49">
                  <c:v>39845</c:v>
                </c:pt>
                <c:pt idx="50">
                  <c:v>39873</c:v>
                </c:pt>
                <c:pt idx="51">
                  <c:v>39904</c:v>
                </c:pt>
                <c:pt idx="52">
                  <c:v>39934</c:v>
                </c:pt>
                <c:pt idx="53">
                  <c:v>39965</c:v>
                </c:pt>
                <c:pt idx="54">
                  <c:v>39995</c:v>
                </c:pt>
                <c:pt idx="55">
                  <c:v>40026</c:v>
                </c:pt>
                <c:pt idx="56">
                  <c:v>40057</c:v>
                </c:pt>
                <c:pt idx="57">
                  <c:v>40087</c:v>
                </c:pt>
                <c:pt idx="58">
                  <c:v>40118</c:v>
                </c:pt>
                <c:pt idx="59">
                  <c:v>40148</c:v>
                </c:pt>
                <c:pt idx="60">
                  <c:v>40179</c:v>
                </c:pt>
                <c:pt idx="61">
                  <c:v>40210</c:v>
                </c:pt>
                <c:pt idx="62">
                  <c:v>40238</c:v>
                </c:pt>
                <c:pt idx="63">
                  <c:v>40269</c:v>
                </c:pt>
                <c:pt idx="64">
                  <c:v>40299</c:v>
                </c:pt>
                <c:pt idx="65">
                  <c:v>40330</c:v>
                </c:pt>
                <c:pt idx="66">
                  <c:v>40360</c:v>
                </c:pt>
                <c:pt idx="67">
                  <c:v>40391</c:v>
                </c:pt>
                <c:pt idx="68">
                  <c:v>40422</c:v>
                </c:pt>
                <c:pt idx="69">
                  <c:v>40452</c:v>
                </c:pt>
                <c:pt idx="70">
                  <c:v>40483</c:v>
                </c:pt>
                <c:pt idx="71">
                  <c:v>40513</c:v>
                </c:pt>
                <c:pt idx="72">
                  <c:v>40544</c:v>
                </c:pt>
                <c:pt idx="73">
                  <c:v>40575</c:v>
                </c:pt>
                <c:pt idx="74">
                  <c:v>40603</c:v>
                </c:pt>
                <c:pt idx="75">
                  <c:v>40634</c:v>
                </c:pt>
                <c:pt idx="76">
                  <c:v>40664</c:v>
                </c:pt>
                <c:pt idx="77">
                  <c:v>40695</c:v>
                </c:pt>
                <c:pt idx="78">
                  <c:v>40725</c:v>
                </c:pt>
                <c:pt idx="79">
                  <c:v>40756</c:v>
                </c:pt>
                <c:pt idx="80">
                  <c:v>40787</c:v>
                </c:pt>
                <c:pt idx="81">
                  <c:v>40817</c:v>
                </c:pt>
                <c:pt idx="82">
                  <c:v>40848</c:v>
                </c:pt>
                <c:pt idx="83">
                  <c:v>40878</c:v>
                </c:pt>
                <c:pt idx="84">
                  <c:v>40909</c:v>
                </c:pt>
                <c:pt idx="85">
                  <c:v>40940</c:v>
                </c:pt>
                <c:pt idx="86">
                  <c:v>40969</c:v>
                </c:pt>
                <c:pt idx="87">
                  <c:v>41000</c:v>
                </c:pt>
                <c:pt idx="88">
                  <c:v>41030</c:v>
                </c:pt>
                <c:pt idx="89">
                  <c:v>41061</c:v>
                </c:pt>
                <c:pt idx="90">
                  <c:v>41091</c:v>
                </c:pt>
                <c:pt idx="91">
                  <c:v>41122</c:v>
                </c:pt>
                <c:pt idx="92">
                  <c:v>41153</c:v>
                </c:pt>
                <c:pt idx="93">
                  <c:v>41183</c:v>
                </c:pt>
                <c:pt idx="94">
                  <c:v>41214</c:v>
                </c:pt>
                <c:pt idx="95">
                  <c:v>41244</c:v>
                </c:pt>
                <c:pt idx="96">
                  <c:v>41275</c:v>
                </c:pt>
                <c:pt idx="97">
                  <c:v>41306</c:v>
                </c:pt>
                <c:pt idx="98">
                  <c:v>41334</c:v>
                </c:pt>
                <c:pt idx="99">
                  <c:v>41365</c:v>
                </c:pt>
                <c:pt idx="100">
                  <c:v>41395</c:v>
                </c:pt>
                <c:pt idx="101">
                  <c:v>41426</c:v>
                </c:pt>
                <c:pt idx="102">
                  <c:v>41456</c:v>
                </c:pt>
                <c:pt idx="103">
                  <c:v>41487</c:v>
                </c:pt>
                <c:pt idx="104">
                  <c:v>41518</c:v>
                </c:pt>
                <c:pt idx="105">
                  <c:v>41548</c:v>
                </c:pt>
                <c:pt idx="106">
                  <c:v>41579</c:v>
                </c:pt>
                <c:pt idx="107">
                  <c:v>41609</c:v>
                </c:pt>
                <c:pt idx="108">
                  <c:v>41640</c:v>
                </c:pt>
                <c:pt idx="109">
                  <c:v>41671</c:v>
                </c:pt>
                <c:pt idx="110">
                  <c:v>41699</c:v>
                </c:pt>
                <c:pt idx="111">
                  <c:v>41730</c:v>
                </c:pt>
                <c:pt idx="112">
                  <c:v>41760</c:v>
                </c:pt>
                <c:pt idx="113">
                  <c:v>41791</c:v>
                </c:pt>
                <c:pt idx="114">
                  <c:v>41821</c:v>
                </c:pt>
                <c:pt idx="115">
                  <c:v>41852</c:v>
                </c:pt>
                <c:pt idx="116">
                  <c:v>41883</c:v>
                </c:pt>
                <c:pt idx="117">
                  <c:v>41913</c:v>
                </c:pt>
                <c:pt idx="118">
                  <c:v>41944</c:v>
                </c:pt>
                <c:pt idx="119">
                  <c:v>41974</c:v>
                </c:pt>
                <c:pt idx="120">
                  <c:v>42005</c:v>
                </c:pt>
                <c:pt idx="121">
                  <c:v>42036</c:v>
                </c:pt>
                <c:pt idx="122">
                  <c:v>42064</c:v>
                </c:pt>
                <c:pt idx="123">
                  <c:v>42095</c:v>
                </c:pt>
                <c:pt idx="124">
                  <c:v>42125</c:v>
                </c:pt>
                <c:pt idx="125">
                  <c:v>42156</c:v>
                </c:pt>
                <c:pt idx="126">
                  <c:v>42186</c:v>
                </c:pt>
                <c:pt idx="127">
                  <c:v>42217</c:v>
                </c:pt>
                <c:pt idx="128">
                  <c:v>42248</c:v>
                </c:pt>
                <c:pt idx="129">
                  <c:v>42278</c:v>
                </c:pt>
                <c:pt idx="130">
                  <c:v>42309</c:v>
                </c:pt>
                <c:pt idx="131">
                  <c:v>42339</c:v>
                </c:pt>
                <c:pt idx="132">
                  <c:v>42370</c:v>
                </c:pt>
                <c:pt idx="133">
                  <c:v>42401</c:v>
                </c:pt>
                <c:pt idx="134">
                  <c:v>42430</c:v>
                </c:pt>
                <c:pt idx="135">
                  <c:v>42461</c:v>
                </c:pt>
                <c:pt idx="136">
                  <c:v>42491</c:v>
                </c:pt>
                <c:pt idx="137">
                  <c:v>42522</c:v>
                </c:pt>
                <c:pt idx="138">
                  <c:v>42552</c:v>
                </c:pt>
                <c:pt idx="139">
                  <c:v>42583</c:v>
                </c:pt>
                <c:pt idx="140">
                  <c:v>42614</c:v>
                </c:pt>
              </c:numCache>
            </c:numRef>
          </c:cat>
          <c:val>
            <c:numRef>
              <c:f>Лист1!$B$2:$B$143</c:f>
              <c:numCache>
                <c:formatCode>0.0</c:formatCode>
                <c:ptCount val="142"/>
                <c:pt idx="0">
                  <c:v>8698.4</c:v>
                </c:pt>
                <c:pt idx="1">
                  <c:v>8888.2999999999811</c:v>
                </c:pt>
                <c:pt idx="2">
                  <c:v>9214.6</c:v>
                </c:pt>
                <c:pt idx="3">
                  <c:v>9483.2000000000007</c:v>
                </c:pt>
                <c:pt idx="4">
                  <c:v>9856.2999999999811</c:v>
                </c:pt>
                <c:pt idx="5">
                  <c:v>9787.1</c:v>
                </c:pt>
                <c:pt idx="6">
                  <c:v>10038.200000000004</c:v>
                </c:pt>
                <c:pt idx="7">
                  <c:v>10079.299999999987</c:v>
                </c:pt>
                <c:pt idx="8">
                  <c:v>9918.1</c:v>
                </c:pt>
                <c:pt idx="9">
                  <c:v>10260.6</c:v>
                </c:pt>
                <c:pt idx="10">
                  <c:v>10489.8</c:v>
                </c:pt>
                <c:pt idx="11">
                  <c:v>10705.5</c:v>
                </c:pt>
                <c:pt idx="12">
                  <c:v>11300.9</c:v>
                </c:pt>
                <c:pt idx="13">
                  <c:v>11366.6</c:v>
                </c:pt>
                <c:pt idx="14">
                  <c:v>11711.1</c:v>
                </c:pt>
                <c:pt idx="15">
                  <c:v>11979.8</c:v>
                </c:pt>
                <c:pt idx="16">
                  <c:v>12227.8</c:v>
                </c:pt>
                <c:pt idx="17">
                  <c:v>12379.5</c:v>
                </c:pt>
                <c:pt idx="18">
                  <c:v>12546.2</c:v>
                </c:pt>
                <c:pt idx="19">
                  <c:v>12747.5</c:v>
                </c:pt>
                <c:pt idx="20">
                  <c:v>12887.6</c:v>
                </c:pt>
                <c:pt idx="21">
                  <c:v>13410.7</c:v>
                </c:pt>
                <c:pt idx="22">
                  <c:v>13724.4</c:v>
                </c:pt>
                <c:pt idx="23">
                  <c:v>14182.1</c:v>
                </c:pt>
                <c:pt idx="24">
                  <c:v>14933.4</c:v>
                </c:pt>
                <c:pt idx="25">
                  <c:v>15502</c:v>
                </c:pt>
                <c:pt idx="26">
                  <c:v>15943.8</c:v>
                </c:pt>
                <c:pt idx="27">
                  <c:v>16446.5999999999</c:v>
                </c:pt>
                <c:pt idx="28">
                  <c:v>16804.8</c:v>
                </c:pt>
                <c:pt idx="29">
                  <c:v>16912.8</c:v>
                </c:pt>
                <c:pt idx="30">
                  <c:v>17204.5</c:v>
                </c:pt>
                <c:pt idx="31">
                  <c:v>17408.2</c:v>
                </c:pt>
                <c:pt idx="32">
                  <c:v>17572</c:v>
                </c:pt>
                <c:pt idx="33">
                  <c:v>17837.0999999999</c:v>
                </c:pt>
                <c:pt idx="34">
                  <c:v>18362.900000000001</c:v>
                </c:pt>
                <c:pt idx="35">
                  <c:v>18864.7</c:v>
                </c:pt>
                <c:pt idx="36">
                  <c:v>19945.400000000001</c:v>
                </c:pt>
                <c:pt idx="37">
                  <c:v>20051.3</c:v>
                </c:pt>
                <c:pt idx="38">
                  <c:v>20362.5</c:v>
                </c:pt>
                <c:pt idx="39">
                  <c:v>20789.2</c:v>
                </c:pt>
                <c:pt idx="40">
                  <c:v>21197.3</c:v>
                </c:pt>
                <c:pt idx="41">
                  <c:v>21011.5999999999</c:v>
                </c:pt>
                <c:pt idx="42">
                  <c:v>21064</c:v>
                </c:pt>
                <c:pt idx="43">
                  <c:v>20857.400000000001</c:v>
                </c:pt>
                <c:pt idx="44">
                  <c:v>17351.5999999999</c:v>
                </c:pt>
                <c:pt idx="45">
                  <c:v>21609.1</c:v>
                </c:pt>
                <c:pt idx="46">
                  <c:v>18697.5999999999</c:v>
                </c:pt>
                <c:pt idx="47">
                  <c:v>18735.0999999999</c:v>
                </c:pt>
                <c:pt idx="48">
                  <c:v>19108.7</c:v>
                </c:pt>
                <c:pt idx="49">
                  <c:v>19735.8</c:v>
                </c:pt>
                <c:pt idx="50">
                  <c:v>19932.900000000001</c:v>
                </c:pt>
                <c:pt idx="51">
                  <c:v>20099.3</c:v>
                </c:pt>
                <c:pt idx="52">
                  <c:v>20523.8</c:v>
                </c:pt>
                <c:pt idx="53">
                  <c:v>20494.5</c:v>
                </c:pt>
                <c:pt idx="54">
                  <c:v>20647</c:v>
                </c:pt>
                <c:pt idx="55">
                  <c:v>20922.7</c:v>
                </c:pt>
                <c:pt idx="56">
                  <c:v>21177.5999999999</c:v>
                </c:pt>
                <c:pt idx="57">
                  <c:v>21446.9</c:v>
                </c:pt>
                <c:pt idx="58">
                  <c:v>20647</c:v>
                </c:pt>
                <c:pt idx="59">
                  <c:v>22526.6</c:v>
                </c:pt>
                <c:pt idx="60">
                  <c:v>23767.1</c:v>
                </c:pt>
                <c:pt idx="61">
                  <c:v>24533.8</c:v>
                </c:pt>
                <c:pt idx="62">
                  <c:v>25153.1</c:v>
                </c:pt>
                <c:pt idx="63">
                  <c:v>25788.2</c:v>
                </c:pt>
                <c:pt idx="64">
                  <c:v>26333.9</c:v>
                </c:pt>
                <c:pt idx="65">
                  <c:v>26659.8</c:v>
                </c:pt>
                <c:pt idx="66">
                  <c:v>27041</c:v>
                </c:pt>
                <c:pt idx="67">
                  <c:v>27358.3</c:v>
                </c:pt>
                <c:pt idx="68">
                  <c:v>27773.9</c:v>
                </c:pt>
                <c:pt idx="69">
                  <c:v>28136.400000000001</c:v>
                </c:pt>
                <c:pt idx="70">
                  <c:v>28615.7</c:v>
                </c:pt>
                <c:pt idx="71">
                  <c:v>29246.1</c:v>
                </c:pt>
                <c:pt idx="72">
                  <c:v>29931.7</c:v>
                </c:pt>
                <c:pt idx="73">
                  <c:v>30140.5</c:v>
                </c:pt>
                <c:pt idx="74">
                  <c:v>30584.5</c:v>
                </c:pt>
                <c:pt idx="75">
                  <c:v>30562.2</c:v>
                </c:pt>
                <c:pt idx="76">
                  <c:v>30487.3</c:v>
                </c:pt>
                <c:pt idx="77">
                  <c:v>30079.5999999999</c:v>
                </c:pt>
                <c:pt idx="78">
                  <c:v>30098.6</c:v>
                </c:pt>
                <c:pt idx="79">
                  <c:v>30194</c:v>
                </c:pt>
                <c:pt idx="80">
                  <c:v>29966</c:v>
                </c:pt>
                <c:pt idx="81">
                  <c:v>29043.5</c:v>
                </c:pt>
                <c:pt idx="82">
                  <c:v>29061.4</c:v>
                </c:pt>
                <c:pt idx="83">
                  <c:v>29316.799999999996</c:v>
                </c:pt>
                <c:pt idx="84">
                  <c:v>47418.400000000001</c:v>
                </c:pt>
                <c:pt idx="85">
                  <c:v>46736</c:v>
                </c:pt>
                <c:pt idx="86">
                  <c:v>47842.9</c:v>
                </c:pt>
                <c:pt idx="87">
                  <c:v>48701.7</c:v>
                </c:pt>
                <c:pt idx="88">
                  <c:v>50526.8</c:v>
                </c:pt>
                <c:pt idx="89">
                  <c:v>51042.3</c:v>
                </c:pt>
                <c:pt idx="90">
                  <c:v>50617.9</c:v>
                </c:pt>
                <c:pt idx="91">
                  <c:v>51878.6</c:v>
                </c:pt>
                <c:pt idx="92">
                  <c:v>52656.4</c:v>
                </c:pt>
                <c:pt idx="93">
                  <c:v>52997</c:v>
                </c:pt>
                <c:pt idx="94">
                  <c:v>53291.199999999997</c:v>
                </c:pt>
                <c:pt idx="95">
                  <c:v>54559.7</c:v>
                </c:pt>
                <c:pt idx="96">
                  <c:v>58596.3</c:v>
                </c:pt>
                <c:pt idx="97">
                  <c:v>58098.1</c:v>
                </c:pt>
                <c:pt idx="98">
                  <c:v>60135.5</c:v>
                </c:pt>
                <c:pt idx="99">
                  <c:v>61345.599999999999</c:v>
                </c:pt>
                <c:pt idx="100">
                  <c:v>63184.5</c:v>
                </c:pt>
                <c:pt idx="101">
                  <c:v>63461.9</c:v>
                </c:pt>
                <c:pt idx="102">
                  <c:v>64812.2</c:v>
                </c:pt>
                <c:pt idx="103">
                  <c:v>64403.6</c:v>
                </c:pt>
                <c:pt idx="104">
                  <c:v>64854.6</c:v>
                </c:pt>
                <c:pt idx="105">
                  <c:v>65404.1</c:v>
                </c:pt>
                <c:pt idx="106">
                  <c:v>65735.199999999997</c:v>
                </c:pt>
                <c:pt idx="107">
                  <c:v>66589.7</c:v>
                </c:pt>
                <c:pt idx="108">
                  <c:v>70274.899999999994</c:v>
                </c:pt>
                <c:pt idx="109">
                  <c:v>68913.100000000006</c:v>
                </c:pt>
                <c:pt idx="110">
                  <c:v>69366.2</c:v>
                </c:pt>
                <c:pt idx="111">
                  <c:v>68673.3</c:v>
                </c:pt>
                <c:pt idx="112">
                  <c:v>70378.899999999994</c:v>
                </c:pt>
                <c:pt idx="113">
                  <c:v>71014.7</c:v>
                </c:pt>
                <c:pt idx="114">
                  <c:v>71359.600000000006</c:v>
                </c:pt>
                <c:pt idx="115">
                  <c:v>71433.100000000006</c:v>
                </c:pt>
                <c:pt idx="116">
                  <c:v>71891.100000000006</c:v>
                </c:pt>
                <c:pt idx="117">
                  <c:v>72032</c:v>
                </c:pt>
                <c:pt idx="118">
                  <c:v>73099</c:v>
                </c:pt>
                <c:pt idx="119">
                  <c:v>73934.899999999994</c:v>
                </c:pt>
                <c:pt idx="120">
                  <c:v>76910.7</c:v>
                </c:pt>
                <c:pt idx="121">
                  <c:v>78825.7</c:v>
                </c:pt>
                <c:pt idx="122">
                  <c:v>79964.600000000006</c:v>
                </c:pt>
                <c:pt idx="123">
                  <c:v>79615.8</c:v>
                </c:pt>
                <c:pt idx="124">
                  <c:v>79232.899999999994</c:v>
                </c:pt>
                <c:pt idx="125">
                  <c:v>81174.7</c:v>
                </c:pt>
                <c:pt idx="126">
                  <c:v>83151.399999999994</c:v>
                </c:pt>
                <c:pt idx="127">
                  <c:v>83856.7</c:v>
                </c:pt>
                <c:pt idx="128">
                  <c:v>85352.4</c:v>
                </c:pt>
                <c:pt idx="129">
                  <c:v>86437.9</c:v>
                </c:pt>
                <c:pt idx="130">
                  <c:v>85927.4</c:v>
                </c:pt>
                <c:pt idx="131">
                  <c:v>87721.7</c:v>
                </c:pt>
                <c:pt idx="132">
                  <c:v>94354</c:v>
                </c:pt>
                <c:pt idx="133">
                  <c:v>92604.9</c:v>
                </c:pt>
                <c:pt idx="134">
                  <c:v>94927.1</c:v>
                </c:pt>
                <c:pt idx="135">
                  <c:v>94167.8</c:v>
                </c:pt>
                <c:pt idx="136">
                  <c:v>95751.2</c:v>
                </c:pt>
                <c:pt idx="137">
                  <c:v>96095.4</c:v>
                </c:pt>
                <c:pt idx="138">
                  <c:v>97813.9</c:v>
                </c:pt>
                <c:pt idx="139">
                  <c:v>98002.3</c:v>
                </c:pt>
                <c:pt idx="140">
                  <c:v>97582.8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710528"/>
        <c:axId val="42712448"/>
      </c:lineChart>
      <c:dateAx>
        <c:axId val="427105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период</a:t>
                </a:r>
              </a:p>
            </c:rich>
          </c:tx>
          <c:layout>
            <c:manualLayout>
              <c:xMode val="edge"/>
              <c:yMode val="edge"/>
              <c:x val="0.90902142070950864"/>
              <c:y val="0.91071428571428559"/>
            </c:manualLayout>
          </c:layout>
          <c:overlay val="0"/>
        </c:title>
        <c:numFmt formatCode="mmm/yy" sourceLinked="1"/>
        <c:majorTickMark val="out"/>
        <c:minorTickMark val="none"/>
        <c:tickLblPos val="nextTo"/>
        <c:crossAx val="42712448"/>
        <c:crosses val="autoZero"/>
        <c:auto val="1"/>
        <c:lblOffset val="100"/>
        <c:baseTimeUnit val="months"/>
      </c:dateAx>
      <c:valAx>
        <c:axId val="42712448"/>
        <c:scaling>
          <c:orientation val="minMax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42710528"/>
        <c:crosses val="autoZero"/>
        <c:crossBetween val="between"/>
        <c:dispUnits>
          <c:builtInUnit val="thousands"/>
          <c:dispUnitsLbl>
            <c:layout>
              <c:manualLayout>
                <c:xMode val="edge"/>
                <c:yMode val="edge"/>
                <c:x val="8.6021505376344728E-3"/>
                <c:y val="3.9682539682539819E-2"/>
              </c:manualLayout>
            </c:layout>
            <c:tx>
              <c:rich>
                <a:bodyPr/>
                <a:lstStyle/>
                <a:p>
                  <a:pPr>
                    <a:defRPr/>
                  </a:pPr>
                  <a:r>
                    <a:rPr lang="ru-RU"/>
                    <a:t>млрд руб.</a:t>
                  </a:r>
                </a:p>
              </c:rich>
            </c:tx>
          </c:dispUnitsLbl>
        </c:dispUnits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9.6425438596492066E-2"/>
          <c:y val="4.3650793650793704E-2"/>
          <c:w val="0.8794517543859649"/>
          <c:h val="0.7157604175882537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Вклады в иные банки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929824561403512E-3"/>
                  <c:y val="-6.3897763578274758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102106960031923E-17"/>
                  <c:y val="-6.3897763578274758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5.9637912673056452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20421392006413E-17"/>
                  <c:y val="-6.3897763578274758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929824561403512E-3"/>
                  <c:y val="-5.1118210862619813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6.3897763578274841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6.3897763578274758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1929824561403512E-3"/>
                  <c:y val="-7.6677316293929709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7.6677316293929709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1929824561403512E-3"/>
                  <c:y val="-8.0937167199148063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-7.6677316293929709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-8.0937167199148063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Лист1!$A$2:$A$13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74303.3</c:v>
                </c:pt>
                <c:pt idx="1">
                  <c:v>92280.000000000015</c:v>
                </c:pt>
                <c:pt idx="2">
                  <c:v>119157</c:v>
                </c:pt>
                <c:pt idx="3">
                  <c:v>148444</c:v>
                </c:pt>
                <c:pt idx="4">
                  <c:v>177556.2</c:v>
                </c:pt>
                <c:pt idx="5">
                  <c:v>218580.1</c:v>
                </c:pt>
                <c:pt idx="6">
                  <c:v>256111.80000000005</c:v>
                </c:pt>
                <c:pt idx="7">
                  <c:v>312535.40000000002</c:v>
                </c:pt>
                <c:pt idx="8">
                  <c:v>445485</c:v>
                </c:pt>
                <c:pt idx="9">
                  <c:v>522249.30000000005</c:v>
                </c:pt>
                <c:pt idx="10">
                  <c:v>611290.9</c:v>
                </c:pt>
                <c:pt idx="11">
                  <c:v>530679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Вклады в "Сбербанк"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945686900958523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929824561403512E-3"/>
                  <c:y val="-8.945686900958523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929824561403512E-3"/>
                  <c:y val="-7.6677316293929709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20421392006413E-17"/>
                  <c:y val="-7.6677316293929709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8.0937167199148063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7.6677316293929709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8.945686900958523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7.2417465388711771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8.5197018104366598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-8.0937167199148063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3122309711286087E-3"/>
                  <c:y val="-8.0450139810954988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-0.20398572727428677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Лист1!$A$2:$A$13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43116.10000000002</c:v>
                </c:pt>
                <c:pt idx="1">
                  <c:v>58184.2</c:v>
                </c:pt>
                <c:pt idx="2">
                  <c:v>84635.800000000017</c:v>
                </c:pt>
                <c:pt idx="3">
                  <c:v>93228.1</c:v>
                </c:pt>
                <c:pt idx="4">
                  <c:v>69706.600000000006</c:v>
                </c:pt>
                <c:pt idx="5">
                  <c:v>101827.19999999998</c:v>
                </c:pt>
                <c:pt idx="6">
                  <c:v>103354.29999999999</c:v>
                </c:pt>
                <c:pt idx="7">
                  <c:v>295733.5</c:v>
                </c:pt>
                <c:pt idx="8">
                  <c:v>311136.3</c:v>
                </c:pt>
                <c:pt idx="9">
                  <c:v>330121.5</c:v>
                </c:pt>
                <c:pt idx="10">
                  <c:v>376881</c:v>
                </c:pt>
                <c:pt idx="11">
                  <c:v>330620.4000000002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3075456"/>
        <c:axId val="45929984"/>
      </c:barChart>
      <c:catAx>
        <c:axId val="430754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годы</a:t>
                </a:r>
              </a:p>
            </c:rich>
          </c:tx>
          <c:layout>
            <c:manualLayout>
              <c:xMode val="edge"/>
              <c:yMode val="edge"/>
              <c:x val="0.91283401574803169"/>
              <c:y val="0.8826135118936904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5929984"/>
        <c:crosses val="autoZero"/>
        <c:auto val="1"/>
        <c:lblAlgn val="ctr"/>
        <c:lblOffset val="100"/>
        <c:noMultiLvlLbl val="0"/>
      </c:catAx>
      <c:valAx>
        <c:axId val="45929984"/>
        <c:scaling>
          <c:orientation val="minMax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crossAx val="43075456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6.5789473684210523E-3"/>
                <c:y val="2.7777777777778064E-2"/>
              </c:manualLayout>
            </c:layout>
            <c:tx>
              <c:rich>
                <a:bodyPr/>
                <a:lstStyle/>
                <a:p>
                  <a:pPr>
                    <a:defRPr/>
                  </a:pPr>
                  <a:r>
                    <a:rPr lang="ru-RU"/>
                    <a:t>трлн руб.</a:t>
                  </a:r>
                </a:p>
              </c:rich>
            </c:tx>
          </c:dispUnitsLbl>
        </c:dispUnits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959998671052825E-2"/>
          <c:y val="4.3650793650793704E-2"/>
          <c:w val="0.88583325027409565"/>
          <c:h val="0.8368450818647669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1.1900000000000042</c:v>
                </c:pt>
                <c:pt idx="1">
                  <c:v>1.06</c:v>
                </c:pt>
                <c:pt idx="2">
                  <c:v>1.59</c:v>
                </c:pt>
                <c:pt idx="3">
                  <c:v>1.1700000000000021</c:v>
                </c:pt>
                <c:pt idx="4">
                  <c:v>1.01</c:v>
                </c:pt>
                <c:pt idx="5">
                  <c:v>1.03</c:v>
                </c:pt>
                <c:pt idx="6">
                  <c:v>1.1200000000000001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1204736"/>
        <c:axId val="81206656"/>
      </c:lineChart>
      <c:catAx>
        <c:axId val="812047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ru-RU" sz="1100"/>
                  <a:t>годы</a:t>
                </a:r>
              </a:p>
            </c:rich>
          </c:tx>
          <c:layout>
            <c:manualLayout>
              <c:xMode val="edge"/>
              <c:yMode val="edge"/>
              <c:x val="0.93360759493670886"/>
              <c:y val="0.9345238095238096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1206656"/>
        <c:crosses val="autoZero"/>
        <c:auto val="1"/>
        <c:lblAlgn val="ctr"/>
        <c:lblOffset val="100"/>
        <c:noMultiLvlLbl val="0"/>
      </c:catAx>
      <c:valAx>
        <c:axId val="812066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ru-RU" sz="1100"/>
                  <a:t>значение</a:t>
                </a:r>
                <a:r>
                  <a:rPr lang="ru-RU" sz="1100" baseline="0"/>
                  <a:t> </a:t>
                </a:r>
                <a:r>
                  <a:rPr lang="en-US" sz="1100" baseline="0"/>
                  <a:t>I</a:t>
                </a:r>
                <a:r>
                  <a:rPr lang="ru-RU" sz="1100" baseline="-25000"/>
                  <a:t>РРВ</a:t>
                </a:r>
                <a:endParaRPr lang="ru-RU" sz="1100"/>
              </a:p>
            </c:rich>
          </c:tx>
          <c:layout>
            <c:manualLayout>
              <c:xMode val="edge"/>
              <c:yMode val="edge"/>
              <c:x val="2.109704641350226E-3"/>
              <c:y val="1.2103174603174605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81204736"/>
        <c:crosses val="autoZero"/>
        <c:crossBetween val="between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232456140351042E-2"/>
          <c:y val="4.3650793650793704E-2"/>
          <c:w val="0.88164473684210565"/>
          <c:h val="0.781240067594290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dLbls>
            <c:numFmt formatCode="#,##0.00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639152.80271294643</c:v>
                </c:pt>
                <c:pt idx="1">
                  <c:v>723708.67726998136</c:v>
                </c:pt>
                <c:pt idx="2">
                  <c:v>1227833.8716188951</c:v>
                </c:pt>
                <c:pt idx="3">
                  <c:v>1533795.4591526452</c:v>
                </c:pt>
                <c:pt idx="4">
                  <c:v>1735989.4093686356</c:v>
                </c:pt>
                <c:pt idx="5">
                  <c:v>2023283.9885339884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1422208"/>
        <c:axId val="84923136"/>
      </c:lineChart>
      <c:catAx>
        <c:axId val="814222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годы</a:t>
                </a:r>
              </a:p>
            </c:rich>
          </c:tx>
          <c:layout>
            <c:manualLayout>
              <c:xMode val="edge"/>
              <c:yMode val="edge"/>
              <c:x val="0.9359210526315872"/>
              <c:y val="0.9337899543379000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4923136"/>
        <c:crosses val="autoZero"/>
        <c:auto val="1"/>
        <c:lblAlgn val="ctr"/>
        <c:lblOffset val="100"/>
        <c:noMultiLvlLbl val="0"/>
      </c:catAx>
      <c:valAx>
        <c:axId val="84923136"/>
        <c:scaling>
          <c:orientation val="minMax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crossAx val="81422208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8.771929824561403E-3"/>
                <c:y val="3.1746031746031744E-2"/>
              </c:manualLayout>
            </c:layout>
            <c:tx>
              <c:rich>
                <a:bodyPr/>
                <a:lstStyle/>
                <a:p>
                  <a:pPr>
                    <a:defRPr/>
                  </a:pPr>
                  <a:r>
                    <a:rPr lang="ru-RU"/>
                    <a:t>млн руб.</a:t>
                  </a:r>
                </a:p>
              </c:rich>
            </c:tx>
          </c:dispUnitsLbl>
        </c:dispUnits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364035087719766E-2"/>
          <c:y val="5.7291666666666664E-2"/>
          <c:w val="0.89151315789473318"/>
          <c:h val="0.7052377774812045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numRef>
              <c:f>Лист1!$A$2:$A$13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299008"/>
        <c:axId val="92738688"/>
      </c:lineChart>
      <c:catAx>
        <c:axId val="902990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годы</a:t>
                </a:r>
              </a:p>
            </c:rich>
          </c:tx>
          <c:layout>
            <c:manualLayout>
              <c:xMode val="edge"/>
              <c:yMode val="edge"/>
              <c:x val="0.93756578947368419"/>
              <c:y val="0.924479166666666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92738688"/>
        <c:crosses val="autoZero"/>
        <c:auto val="1"/>
        <c:lblAlgn val="ctr"/>
        <c:lblOffset val="100"/>
        <c:noMultiLvlLbl val="0"/>
      </c:catAx>
      <c:valAx>
        <c:axId val="927386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число банков</a:t>
                </a:r>
              </a:p>
            </c:rich>
          </c:tx>
          <c:layout>
            <c:manualLayout>
              <c:xMode val="edge"/>
              <c:yMode val="edge"/>
              <c:x val="4.3859649122807015E-3"/>
              <c:y val="2.7760416666666676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902990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941010817732061"/>
          <c:y val="4.7619047619047623E-2"/>
          <c:w val="0.86049728386868984"/>
          <c:h val="0.91269841269842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dLbls>
            <c:dLbl>
              <c:idx val="9"/>
              <c:layout>
                <c:manualLayout>
                  <c:x val="-3.7190877882566371E-2"/>
                  <c:y val="0.13760656840971724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087431693989074E-2"/>
                  <c:y val="4.7619047619047623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Лист1!$A$2:$A$13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108.4</c:v>
                </c:pt>
                <c:pt idx="1">
                  <c:v>382.6</c:v>
                </c:pt>
                <c:pt idx="2">
                  <c:v>521.79999999999995</c:v>
                </c:pt>
                <c:pt idx="3">
                  <c:v>540.4</c:v>
                </c:pt>
                <c:pt idx="4">
                  <c:v>335.1</c:v>
                </c:pt>
                <c:pt idx="5">
                  <c:v>436.7</c:v>
                </c:pt>
                <c:pt idx="6">
                  <c:v>872.3</c:v>
                </c:pt>
                <c:pt idx="7">
                  <c:v>1729.8</c:v>
                </c:pt>
                <c:pt idx="8">
                  <c:v>1409.4</c:v>
                </c:pt>
                <c:pt idx="9">
                  <c:v>-534</c:v>
                </c:pt>
                <c:pt idx="10">
                  <c:v>-1795</c:v>
                </c:pt>
                <c:pt idx="11">
                  <c:v>429.1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5627008"/>
        <c:axId val="105633280"/>
      </c:lineChart>
      <c:catAx>
        <c:axId val="105627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633280"/>
        <c:crosses val="autoZero"/>
        <c:auto val="1"/>
        <c:lblAlgn val="ctr"/>
        <c:lblOffset val="100"/>
        <c:noMultiLvlLbl val="0"/>
      </c:catAx>
      <c:valAx>
        <c:axId val="1056332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млрд</a:t>
                </a:r>
                <a:r>
                  <a:rPr lang="ru-RU" baseline="0"/>
                  <a:t> руб.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2.0161053612220682E-2"/>
              <c:y val="4.7215559593512375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05627008"/>
        <c:crosses val="autoZero"/>
        <c:crossBetween val="between"/>
        <c:dispUnits>
          <c:builtInUnit val="thousands"/>
        </c:dispUnits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Багдасарян Александр Сергеевич</cp:lastModifiedBy>
  <cp:revision>2</cp:revision>
  <cp:lastPrinted>2017-10-05T04:24:00Z</cp:lastPrinted>
  <dcterms:created xsi:type="dcterms:W3CDTF">2017-05-14T04:05:00Z</dcterms:created>
  <dcterms:modified xsi:type="dcterms:W3CDTF">2017-10-05T04:25:00Z</dcterms:modified>
</cp:coreProperties>
</file>