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BB" w:rsidRPr="005D73B6" w:rsidRDefault="00EF27BB" w:rsidP="005D73B6">
      <w:pPr>
        <w:spacing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73B6">
        <w:rPr>
          <w:rFonts w:ascii="Times New Roman" w:hAnsi="Times New Roman" w:cs="Times New Roman"/>
          <w:b/>
          <w:sz w:val="28"/>
          <w:szCs w:val="28"/>
        </w:rPr>
        <w:t xml:space="preserve">Пономаренко </w:t>
      </w:r>
      <w:r w:rsidR="005D73B6" w:rsidRPr="005D73B6">
        <w:rPr>
          <w:rFonts w:ascii="Times New Roman" w:hAnsi="Times New Roman" w:cs="Times New Roman"/>
          <w:b/>
          <w:sz w:val="28"/>
          <w:szCs w:val="28"/>
        </w:rPr>
        <w:t>Богдан Константинович,</w:t>
      </w:r>
    </w:p>
    <w:p w:rsidR="005D73B6" w:rsidRDefault="005D73B6" w:rsidP="005D73B6">
      <w:pPr>
        <w:spacing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</w:t>
      </w:r>
      <w:r w:rsidRPr="005D73B6">
        <w:rPr>
          <w:rFonts w:ascii="Times New Roman" w:hAnsi="Times New Roman" w:cs="Times New Roman"/>
          <w:b/>
          <w:sz w:val="28"/>
          <w:szCs w:val="28"/>
        </w:rPr>
        <w:t xml:space="preserve"> 3 курса направления подготовки «Юриспруденция»</w:t>
      </w:r>
    </w:p>
    <w:p w:rsidR="005D73B6" w:rsidRDefault="005D73B6" w:rsidP="005D73B6">
      <w:pPr>
        <w:spacing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73B6" w:rsidRDefault="005D73B6" w:rsidP="005D73B6">
      <w:pPr>
        <w:spacing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5D73B6" w:rsidRDefault="005D73B6" w:rsidP="005D73B6">
      <w:pPr>
        <w:spacing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Сазанова Ирина Владимировна,</w:t>
      </w:r>
    </w:p>
    <w:p w:rsidR="005D73B6" w:rsidRPr="005D73B6" w:rsidRDefault="005D73B6" w:rsidP="005D73B6">
      <w:pPr>
        <w:spacing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  юридических наук, зав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афедрой </w:t>
      </w:r>
    </w:p>
    <w:p w:rsidR="00EF27BB" w:rsidRDefault="00EF27BB" w:rsidP="005D73B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44075" w:rsidRPr="003470AB" w:rsidRDefault="00EF27BB" w:rsidP="003470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AB">
        <w:rPr>
          <w:rFonts w:ascii="Times New Roman" w:hAnsi="Times New Roman" w:cs="Times New Roman"/>
          <w:b/>
          <w:sz w:val="28"/>
          <w:szCs w:val="28"/>
        </w:rPr>
        <w:t>Институт заверений об обсто</w:t>
      </w:r>
      <w:r>
        <w:rPr>
          <w:rFonts w:ascii="Times New Roman" w:hAnsi="Times New Roman" w:cs="Times New Roman"/>
          <w:b/>
          <w:sz w:val="28"/>
          <w:szCs w:val="28"/>
        </w:rPr>
        <w:t>ятельствах в гражданском праве Р</w:t>
      </w:r>
      <w:r w:rsidRPr="003470AB">
        <w:rPr>
          <w:rFonts w:ascii="Times New Roman" w:hAnsi="Times New Roman" w:cs="Times New Roman"/>
          <w:b/>
          <w:sz w:val="28"/>
          <w:szCs w:val="28"/>
        </w:rPr>
        <w:t>оссии</w:t>
      </w:r>
    </w:p>
    <w:p w:rsidR="00EF27BB" w:rsidRDefault="00EF27BB" w:rsidP="00957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7BB" w:rsidRDefault="00EF27BB" w:rsidP="005D7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автор анализирует новый институт гражданского права России, получивший название «заверения об обстоятельствах». Определена правовая природа данного института, а также проведено сравнение с другими нормами ГК РФ, посвященными регламентации обязательственных правоотношений. В конце автором сформулирована позиция относительно целесообразности включения данной нормы в гражданское законодательство России.</w:t>
      </w:r>
    </w:p>
    <w:p w:rsidR="00EF27BB" w:rsidRDefault="00EF27BB" w:rsidP="001B1E61">
      <w:pPr>
        <w:rPr>
          <w:rFonts w:ascii="Times New Roman" w:hAnsi="Times New Roman" w:cs="Times New Roman"/>
          <w:sz w:val="28"/>
          <w:szCs w:val="28"/>
        </w:rPr>
      </w:pPr>
      <w:r w:rsidRPr="00EF27BB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заверения об обстоятельствах, заве</w:t>
      </w:r>
      <w:r w:rsidR="00957AB6">
        <w:rPr>
          <w:rFonts w:ascii="Times New Roman" w:hAnsi="Times New Roman" w:cs="Times New Roman"/>
          <w:sz w:val="28"/>
          <w:szCs w:val="28"/>
        </w:rPr>
        <w:t>рения, гарантии, обязательство.</w:t>
      </w:r>
    </w:p>
    <w:p w:rsidR="00EF27BB" w:rsidRDefault="00EF27BB" w:rsidP="001B1E61">
      <w:pPr>
        <w:rPr>
          <w:rFonts w:ascii="Times New Roman" w:hAnsi="Times New Roman" w:cs="Times New Roman"/>
          <w:sz w:val="28"/>
          <w:szCs w:val="28"/>
        </w:rPr>
      </w:pPr>
    </w:p>
    <w:p w:rsidR="00EF27BB" w:rsidRPr="002564D3" w:rsidRDefault="00EF27BB" w:rsidP="00EF27B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bookmarkStart w:id="0" w:name="_GoBack"/>
      <w:bookmarkEnd w:id="0"/>
      <w:proofErr w:type="spellStart"/>
      <w:r w:rsidRPr="002564D3">
        <w:rPr>
          <w:rFonts w:ascii="Times New Roman" w:hAnsi="Times New Roman" w:cs="Times New Roman"/>
          <w:b/>
          <w:i/>
          <w:sz w:val="28"/>
          <w:szCs w:val="28"/>
          <w:lang w:val="en-US"/>
        </w:rPr>
        <w:t>Ponomarenko</w:t>
      </w:r>
      <w:proofErr w:type="spellEnd"/>
      <w:r w:rsidRPr="002564D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B.K.</w:t>
      </w:r>
    </w:p>
    <w:p w:rsidR="00EF27BB" w:rsidRDefault="00EF27BB" w:rsidP="00EF27B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64D3">
        <w:rPr>
          <w:rFonts w:ascii="Times New Roman" w:hAnsi="Times New Roman" w:cs="Times New Roman"/>
          <w:b/>
          <w:i/>
          <w:sz w:val="28"/>
          <w:szCs w:val="28"/>
          <w:lang w:val="en-US"/>
        </w:rPr>
        <w:t>The research supervisor</w:t>
      </w:r>
      <w:r w:rsidR="00957AB6" w:rsidRPr="00957AB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- </w:t>
      </w:r>
      <w:proofErr w:type="spellStart"/>
      <w:r w:rsidR="00957AB6" w:rsidRPr="00957AB6">
        <w:rPr>
          <w:rFonts w:ascii="Times New Roman" w:hAnsi="Times New Roman" w:cs="Times New Roman"/>
          <w:b/>
          <w:i/>
          <w:sz w:val="28"/>
          <w:szCs w:val="28"/>
          <w:lang w:val="en-US"/>
        </w:rPr>
        <w:t>Sazanov</w:t>
      </w:r>
      <w:r w:rsidR="00957AB6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proofErr w:type="spellEnd"/>
      <w:r w:rsidR="00957AB6" w:rsidRPr="00957AB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I. V.</w:t>
      </w:r>
    </w:p>
    <w:p w:rsidR="00957AB6" w:rsidRDefault="00957AB6" w:rsidP="00EF27B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57AB6" w:rsidRDefault="00957AB6" w:rsidP="00EF27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7AB6">
        <w:rPr>
          <w:rFonts w:ascii="Times New Roman" w:hAnsi="Times New Roman" w:cs="Times New Roman"/>
          <w:b/>
          <w:sz w:val="28"/>
          <w:szCs w:val="28"/>
          <w:lang w:val="en-US"/>
        </w:rPr>
        <w:t>Institute for assurances in civil law of Russia</w:t>
      </w:r>
    </w:p>
    <w:p w:rsidR="00957AB6" w:rsidRPr="00957AB6" w:rsidRDefault="00957AB6" w:rsidP="00EF27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7AB6" w:rsidRPr="00C44E28" w:rsidRDefault="00957AB6" w:rsidP="00C44E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7AB6">
        <w:rPr>
          <w:rFonts w:ascii="Times New Roman" w:hAnsi="Times New Roman" w:cs="Times New Roman"/>
          <w:sz w:val="28"/>
          <w:szCs w:val="28"/>
          <w:lang w:val="en-US"/>
        </w:rPr>
        <w:t xml:space="preserve">In the article the author analyzes the new civil </w:t>
      </w:r>
      <w:r w:rsidR="00F55897">
        <w:rPr>
          <w:rFonts w:ascii="Times New Roman" w:hAnsi="Times New Roman" w:cs="Times New Roman"/>
          <w:sz w:val="28"/>
          <w:szCs w:val="28"/>
          <w:lang w:val="en-US"/>
        </w:rPr>
        <w:t xml:space="preserve">law institution Russia, called </w:t>
      </w:r>
      <w:r w:rsidR="00F55897" w:rsidRPr="00F55897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957AB6">
        <w:rPr>
          <w:rFonts w:ascii="Times New Roman" w:hAnsi="Times New Roman" w:cs="Times New Roman"/>
          <w:sz w:val="28"/>
          <w:szCs w:val="28"/>
          <w:lang w:val="en-US"/>
        </w:rPr>
        <w:t>assu</w:t>
      </w:r>
      <w:r w:rsidR="00F55897">
        <w:rPr>
          <w:rFonts w:ascii="Times New Roman" w:hAnsi="Times New Roman" w:cs="Times New Roman"/>
          <w:sz w:val="28"/>
          <w:szCs w:val="28"/>
          <w:lang w:val="en-US"/>
        </w:rPr>
        <w:t>rances about the circumstances</w:t>
      </w:r>
      <w:r w:rsidR="00F55897" w:rsidRPr="00F55897">
        <w:rPr>
          <w:rFonts w:ascii="Times New Roman" w:hAnsi="Times New Roman" w:cs="Times New Roman"/>
          <w:sz w:val="28"/>
          <w:szCs w:val="28"/>
          <w:lang w:val="en-US"/>
        </w:rPr>
        <w:t>».</w:t>
      </w:r>
      <w:r w:rsidRPr="00957AB6">
        <w:rPr>
          <w:rFonts w:ascii="Times New Roman" w:hAnsi="Times New Roman" w:cs="Times New Roman"/>
          <w:sz w:val="28"/>
          <w:szCs w:val="28"/>
          <w:lang w:val="en-US"/>
        </w:rPr>
        <w:t xml:space="preserve"> The legal nature of this institution, as well as a comparison with other norms of the civil code dedicated to the regulation of legal relations of obligation. In the end, the author formulated a position on the appropriateness of including this provision in the civil legislation of Russia.</w:t>
      </w:r>
    </w:p>
    <w:p w:rsidR="00957AB6" w:rsidRDefault="00957AB6" w:rsidP="00957AB6">
      <w:pPr>
        <w:rPr>
          <w:rFonts w:ascii="Times New Roman" w:hAnsi="Times New Roman" w:cs="Times New Roman"/>
          <w:sz w:val="28"/>
          <w:szCs w:val="28"/>
        </w:rPr>
      </w:pPr>
      <w:r w:rsidRPr="00957AB6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957AB6">
        <w:rPr>
          <w:rFonts w:ascii="Times New Roman" w:hAnsi="Times New Roman" w:cs="Times New Roman"/>
          <w:sz w:val="28"/>
          <w:szCs w:val="28"/>
          <w:lang w:val="en-US"/>
        </w:rPr>
        <w:t xml:space="preserve"> assurances about the circumstances, representatio</w:t>
      </w:r>
      <w:r>
        <w:rPr>
          <w:rFonts w:ascii="Times New Roman" w:hAnsi="Times New Roman" w:cs="Times New Roman"/>
          <w:sz w:val="28"/>
          <w:szCs w:val="28"/>
          <w:lang w:val="en-US"/>
        </w:rPr>
        <w:t>ns, warranties, obligation</w:t>
      </w:r>
      <w:r w:rsidRPr="00957A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4E28" w:rsidRPr="00C44E28" w:rsidRDefault="00C44E28" w:rsidP="00957AB6">
      <w:pPr>
        <w:rPr>
          <w:rFonts w:ascii="Times New Roman" w:hAnsi="Times New Roman" w:cs="Times New Roman"/>
          <w:sz w:val="28"/>
          <w:szCs w:val="28"/>
        </w:rPr>
      </w:pPr>
    </w:p>
    <w:p w:rsidR="001B1E61" w:rsidRDefault="007357CA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2015 году в ГК РФ была введена статья 431.2, закрепившая принципиально новый для отечественного правопорядка институт заверений об обстоятельствах</w:t>
      </w:r>
      <w:r w:rsidR="00352C88">
        <w:rPr>
          <w:rFonts w:ascii="Times New Roman" w:hAnsi="Times New Roman" w:cs="Times New Roman"/>
          <w:sz w:val="28"/>
          <w:szCs w:val="28"/>
        </w:rPr>
        <w:t xml:space="preserve"> </w:t>
      </w:r>
      <w:r w:rsidR="00352C88" w:rsidRPr="00352C88">
        <w:rPr>
          <w:rFonts w:ascii="Times New Roman" w:hAnsi="Times New Roman" w:cs="Times New Roman"/>
          <w:sz w:val="28"/>
          <w:szCs w:val="28"/>
        </w:rPr>
        <w:t>[</w:t>
      </w:r>
      <w:r w:rsidR="00D117D1">
        <w:rPr>
          <w:rFonts w:ascii="Times New Roman" w:hAnsi="Times New Roman" w:cs="Times New Roman"/>
          <w:sz w:val="28"/>
          <w:szCs w:val="28"/>
        </w:rPr>
        <w:t>3</w:t>
      </w:r>
      <w:r w:rsidR="00352C88" w:rsidRPr="00352C8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1E61">
        <w:rPr>
          <w:rFonts w:ascii="Times New Roman" w:hAnsi="Times New Roman" w:cs="Times New Roman"/>
          <w:sz w:val="28"/>
          <w:szCs w:val="28"/>
        </w:rPr>
        <w:t xml:space="preserve">В юридической литературе в настоящее время активно обсуждается вопрос о целесообразности введения указанной нормы. В частности, ключевым является вопрос о том, не </w:t>
      </w:r>
      <w:proofErr w:type="gramStart"/>
      <w:r w:rsidR="001B1E61">
        <w:rPr>
          <w:rFonts w:ascii="Times New Roman" w:hAnsi="Times New Roman" w:cs="Times New Roman"/>
          <w:sz w:val="28"/>
          <w:szCs w:val="28"/>
        </w:rPr>
        <w:t>дублирует ли она положения других норм ГК РФ и можно ли было</w:t>
      </w:r>
      <w:proofErr w:type="gramEnd"/>
      <w:r w:rsidR="001B1E61">
        <w:rPr>
          <w:rFonts w:ascii="Times New Roman" w:hAnsi="Times New Roman" w:cs="Times New Roman"/>
          <w:sz w:val="28"/>
          <w:szCs w:val="28"/>
        </w:rPr>
        <w:t xml:space="preserve"> достичь тех же результатов, на которые направлена норма о заверениях, за счёт использования уже существующих институтов ГК РФ. </w:t>
      </w:r>
    </w:p>
    <w:p w:rsidR="00D117D1" w:rsidRDefault="001B1E61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отметим, что институт заверений об обстоятельствах </w:t>
      </w:r>
      <w:r w:rsidR="007357CA">
        <w:rPr>
          <w:rFonts w:ascii="Times New Roman" w:hAnsi="Times New Roman" w:cs="Times New Roman"/>
          <w:sz w:val="28"/>
          <w:szCs w:val="28"/>
        </w:rPr>
        <w:t>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отечественный</w:t>
      </w:r>
      <w:r w:rsidR="00F55897">
        <w:rPr>
          <w:rFonts w:ascii="Times New Roman" w:hAnsi="Times New Roman" w:cs="Times New Roman"/>
          <w:sz w:val="28"/>
          <w:szCs w:val="28"/>
        </w:rPr>
        <w:t xml:space="preserve"> аналог англо-американских</w:t>
      </w:r>
      <w:r w:rsidR="007357CA">
        <w:rPr>
          <w:rFonts w:ascii="Times New Roman" w:hAnsi="Times New Roman" w:cs="Times New Roman"/>
          <w:sz w:val="28"/>
          <w:szCs w:val="28"/>
        </w:rPr>
        <w:t xml:space="preserve"> конструкций </w:t>
      </w:r>
      <w:r>
        <w:rPr>
          <w:rFonts w:ascii="Times New Roman" w:hAnsi="Times New Roman" w:cs="Times New Roman"/>
          <w:sz w:val="28"/>
          <w:szCs w:val="28"/>
        </w:rPr>
        <w:t>гарантий</w:t>
      </w:r>
      <w:r w:rsidRPr="001B1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1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заверений (</w:t>
      </w:r>
      <w:r w:rsidR="007357CA">
        <w:rPr>
          <w:rFonts w:ascii="Times New Roman" w:hAnsi="Times New Roman" w:cs="Times New Roman"/>
          <w:sz w:val="28"/>
          <w:szCs w:val="28"/>
          <w:lang w:val="en-US"/>
        </w:rPr>
        <w:t>warranties</w:t>
      </w:r>
      <w:r w:rsidR="007357CA" w:rsidRPr="001B1E61">
        <w:rPr>
          <w:rFonts w:ascii="Times New Roman" w:hAnsi="Times New Roman" w:cs="Times New Roman"/>
          <w:sz w:val="28"/>
          <w:szCs w:val="28"/>
        </w:rPr>
        <w:t xml:space="preserve"> </w:t>
      </w:r>
      <w:r w:rsidR="007357C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7357CA" w:rsidRPr="001B1E61">
        <w:rPr>
          <w:rFonts w:ascii="Times New Roman" w:hAnsi="Times New Roman" w:cs="Times New Roman"/>
          <w:sz w:val="28"/>
          <w:szCs w:val="28"/>
        </w:rPr>
        <w:t xml:space="preserve"> </w:t>
      </w:r>
      <w:r w:rsidR="007357CA">
        <w:rPr>
          <w:rFonts w:ascii="Times New Roman" w:hAnsi="Times New Roman" w:cs="Times New Roman"/>
          <w:sz w:val="28"/>
          <w:szCs w:val="28"/>
          <w:lang w:val="en-US"/>
        </w:rPr>
        <w:t>representations</w:t>
      </w:r>
      <w:r w:rsidR="007357CA" w:rsidRPr="001B1E61">
        <w:rPr>
          <w:rFonts w:ascii="Times New Roman" w:hAnsi="Times New Roman" w:cs="Times New Roman"/>
          <w:sz w:val="28"/>
          <w:szCs w:val="28"/>
        </w:rPr>
        <w:t>)</w:t>
      </w:r>
      <w:r w:rsidR="00EF3CF3" w:rsidRPr="00EF3CF3">
        <w:rPr>
          <w:rFonts w:ascii="Times New Roman" w:hAnsi="Times New Roman" w:cs="Times New Roman"/>
          <w:sz w:val="28"/>
          <w:szCs w:val="28"/>
        </w:rPr>
        <w:t xml:space="preserve"> </w:t>
      </w:r>
      <w:r w:rsidR="00EF3CF3" w:rsidRPr="00352C88">
        <w:rPr>
          <w:rFonts w:ascii="Times New Roman" w:hAnsi="Times New Roman" w:cs="Times New Roman"/>
          <w:sz w:val="28"/>
          <w:szCs w:val="28"/>
        </w:rPr>
        <w:t>[1</w:t>
      </w:r>
      <w:r w:rsidR="00EF3CF3">
        <w:rPr>
          <w:rFonts w:ascii="Times New Roman" w:hAnsi="Times New Roman" w:cs="Times New Roman"/>
          <w:sz w:val="28"/>
          <w:szCs w:val="28"/>
        </w:rPr>
        <w:t>, с. 13</w:t>
      </w:r>
      <w:r w:rsidR="00EF3CF3" w:rsidRPr="00352C88">
        <w:rPr>
          <w:rFonts w:ascii="Times New Roman" w:hAnsi="Times New Roman" w:cs="Times New Roman"/>
          <w:sz w:val="28"/>
          <w:szCs w:val="28"/>
        </w:rPr>
        <w:t>]</w:t>
      </w:r>
      <w:r w:rsidR="00D117D1">
        <w:rPr>
          <w:rFonts w:ascii="Times New Roman" w:hAnsi="Times New Roman" w:cs="Times New Roman"/>
          <w:sz w:val="28"/>
          <w:szCs w:val="28"/>
        </w:rPr>
        <w:t>.</w:t>
      </w:r>
    </w:p>
    <w:p w:rsidR="00D271CC" w:rsidRDefault="001B1E61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</w:t>
      </w:r>
      <w:r w:rsidR="00D77D39">
        <w:rPr>
          <w:rFonts w:ascii="Times New Roman" w:hAnsi="Times New Roman" w:cs="Times New Roman"/>
          <w:sz w:val="28"/>
          <w:szCs w:val="28"/>
        </w:rPr>
        <w:t xml:space="preserve"> обозначим </w:t>
      </w:r>
      <w:r w:rsidR="004E3CD4">
        <w:rPr>
          <w:rFonts w:ascii="Times New Roman" w:hAnsi="Times New Roman" w:cs="Times New Roman"/>
          <w:sz w:val="28"/>
          <w:szCs w:val="28"/>
        </w:rPr>
        <w:t xml:space="preserve">механизм работы </w:t>
      </w:r>
      <w:r>
        <w:rPr>
          <w:rFonts w:ascii="Times New Roman" w:hAnsi="Times New Roman" w:cs="Times New Roman"/>
          <w:sz w:val="28"/>
          <w:szCs w:val="28"/>
        </w:rPr>
        <w:t xml:space="preserve">этой конструкции </w:t>
      </w:r>
      <w:r w:rsidR="00D77D39">
        <w:rPr>
          <w:rFonts w:ascii="Times New Roman" w:hAnsi="Times New Roman" w:cs="Times New Roman"/>
          <w:sz w:val="28"/>
          <w:szCs w:val="28"/>
        </w:rPr>
        <w:t xml:space="preserve">в праве Англии и США. </w:t>
      </w:r>
      <w:proofErr w:type="gramStart"/>
      <w:r w:rsidR="00D271CC">
        <w:rPr>
          <w:rFonts w:ascii="Times New Roman" w:hAnsi="Times New Roman" w:cs="Times New Roman"/>
          <w:sz w:val="28"/>
          <w:szCs w:val="28"/>
        </w:rPr>
        <w:t xml:space="preserve">Есть договор, в котором содержаться </w:t>
      </w:r>
      <w:r w:rsidR="00D271CC" w:rsidRPr="00D271CC">
        <w:rPr>
          <w:rFonts w:ascii="Times New Roman" w:hAnsi="Times New Roman" w:cs="Times New Roman"/>
          <w:i/>
          <w:sz w:val="28"/>
          <w:szCs w:val="28"/>
        </w:rPr>
        <w:t>обязательства</w:t>
      </w:r>
      <w:r w:rsidR="00D271CC">
        <w:rPr>
          <w:rFonts w:ascii="Times New Roman" w:hAnsi="Times New Roman" w:cs="Times New Roman"/>
          <w:sz w:val="28"/>
          <w:szCs w:val="28"/>
        </w:rPr>
        <w:t xml:space="preserve"> сторон (что-либо сделать или воздержаться от какого-либо действия), однако помимо обязательств в договор стороны также включают </w:t>
      </w:r>
      <w:r w:rsidR="00D271CC" w:rsidRPr="00D271CC">
        <w:rPr>
          <w:rFonts w:ascii="Times New Roman" w:hAnsi="Times New Roman" w:cs="Times New Roman"/>
          <w:i/>
          <w:sz w:val="28"/>
          <w:szCs w:val="28"/>
        </w:rPr>
        <w:t>положения, которые носят сугубо информационный характер</w:t>
      </w:r>
      <w:r w:rsidR="00D271CC">
        <w:rPr>
          <w:rFonts w:ascii="Times New Roman" w:hAnsi="Times New Roman" w:cs="Times New Roman"/>
          <w:sz w:val="28"/>
          <w:szCs w:val="28"/>
        </w:rPr>
        <w:t xml:space="preserve"> и</w:t>
      </w:r>
      <w:r w:rsidR="00A31DB4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D27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271CC">
        <w:rPr>
          <w:rFonts w:ascii="Times New Roman" w:hAnsi="Times New Roman" w:cs="Times New Roman"/>
          <w:sz w:val="28"/>
          <w:szCs w:val="28"/>
        </w:rPr>
        <w:t xml:space="preserve">являются при этом обязательствами в привычном понимании (продавец гарантирует, что пробег у автомобиля составляет 10 000 км; у компании есть необходимая </w:t>
      </w:r>
      <w:r w:rsidR="00765286">
        <w:rPr>
          <w:rFonts w:ascii="Times New Roman" w:hAnsi="Times New Roman" w:cs="Times New Roman"/>
          <w:sz w:val="28"/>
          <w:szCs w:val="28"/>
        </w:rPr>
        <w:t>лицензия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D271C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271CC" w:rsidRDefault="00D271CC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странах общего права (Англия и США) </w:t>
      </w:r>
      <w:r w:rsidR="00B560A2">
        <w:rPr>
          <w:rFonts w:ascii="Times New Roman" w:hAnsi="Times New Roman" w:cs="Times New Roman"/>
          <w:sz w:val="28"/>
          <w:szCs w:val="28"/>
        </w:rPr>
        <w:t xml:space="preserve">этим </w:t>
      </w:r>
      <w:r>
        <w:rPr>
          <w:rFonts w:ascii="Times New Roman" w:hAnsi="Times New Roman" w:cs="Times New Roman"/>
          <w:sz w:val="28"/>
          <w:szCs w:val="28"/>
        </w:rPr>
        <w:t>информационным положениям придаётся юридиче</w:t>
      </w:r>
      <w:r w:rsidR="00A31DB4">
        <w:rPr>
          <w:rFonts w:ascii="Times New Roman" w:hAnsi="Times New Roman" w:cs="Times New Roman"/>
          <w:sz w:val="28"/>
          <w:szCs w:val="28"/>
        </w:rPr>
        <w:t>ское значение;</w:t>
      </w:r>
      <w:r>
        <w:rPr>
          <w:rFonts w:ascii="Times New Roman" w:hAnsi="Times New Roman" w:cs="Times New Roman"/>
          <w:sz w:val="28"/>
          <w:szCs w:val="28"/>
        </w:rPr>
        <w:t xml:space="preserve"> они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31DB4" w:rsidRDefault="00D271CC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9072F">
        <w:rPr>
          <w:rFonts w:ascii="Times New Roman" w:hAnsi="Times New Roman" w:cs="Times New Roman"/>
          <w:i/>
          <w:sz w:val="28"/>
          <w:szCs w:val="28"/>
        </w:rPr>
        <w:t>. Условий договора (</w:t>
      </w:r>
      <w:r w:rsidRPr="0079072F">
        <w:rPr>
          <w:rFonts w:ascii="Times New Roman" w:hAnsi="Times New Roman" w:cs="Times New Roman"/>
          <w:i/>
          <w:sz w:val="28"/>
          <w:szCs w:val="28"/>
          <w:lang w:val="en-US"/>
        </w:rPr>
        <w:t>warranty</w:t>
      </w:r>
      <w:r w:rsidRPr="0079072F">
        <w:rPr>
          <w:rFonts w:ascii="Times New Roman" w:hAnsi="Times New Roman" w:cs="Times New Roman"/>
          <w:i/>
          <w:sz w:val="28"/>
          <w:szCs w:val="28"/>
        </w:rPr>
        <w:t xml:space="preserve"> – «гарантия»)</w:t>
      </w:r>
      <w:r>
        <w:rPr>
          <w:rFonts w:ascii="Times New Roman" w:hAnsi="Times New Roman" w:cs="Times New Roman"/>
          <w:sz w:val="28"/>
          <w:szCs w:val="28"/>
        </w:rPr>
        <w:t>. Нарушение такого условия даёт основание для привлечения лиц</w:t>
      </w:r>
      <w:r w:rsidR="00A31DB4">
        <w:rPr>
          <w:rFonts w:ascii="Times New Roman" w:hAnsi="Times New Roman" w:cs="Times New Roman"/>
          <w:sz w:val="28"/>
          <w:szCs w:val="28"/>
        </w:rPr>
        <w:t xml:space="preserve">а к договорной ответственности. </w:t>
      </w:r>
    </w:p>
    <w:p w:rsidR="00D271CC" w:rsidRDefault="00D271CC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072F">
        <w:rPr>
          <w:rFonts w:ascii="Times New Roman" w:hAnsi="Times New Roman" w:cs="Times New Roman"/>
          <w:i/>
          <w:sz w:val="28"/>
          <w:szCs w:val="28"/>
        </w:rPr>
        <w:t>Внедоговорных утверждений</w:t>
      </w:r>
      <w:r>
        <w:rPr>
          <w:rFonts w:ascii="Times New Roman" w:hAnsi="Times New Roman" w:cs="Times New Roman"/>
          <w:sz w:val="28"/>
          <w:szCs w:val="28"/>
        </w:rPr>
        <w:t>, которые имели цель побудить другую сторону к заключению договора (</w:t>
      </w:r>
      <w:r w:rsidRPr="0079072F">
        <w:rPr>
          <w:rFonts w:ascii="Times New Roman" w:hAnsi="Times New Roman" w:cs="Times New Roman"/>
          <w:i/>
          <w:sz w:val="28"/>
          <w:szCs w:val="28"/>
          <w:lang w:val="en-US"/>
        </w:rPr>
        <w:t>representation</w:t>
      </w:r>
      <w:r w:rsidRPr="0079072F">
        <w:rPr>
          <w:rFonts w:ascii="Times New Roman" w:hAnsi="Times New Roman" w:cs="Times New Roman"/>
          <w:i/>
          <w:sz w:val="28"/>
          <w:szCs w:val="28"/>
        </w:rPr>
        <w:t xml:space="preserve"> – «заверение»</w:t>
      </w:r>
      <w:r>
        <w:rPr>
          <w:rFonts w:ascii="Times New Roman" w:hAnsi="Times New Roman" w:cs="Times New Roman"/>
          <w:sz w:val="28"/>
          <w:szCs w:val="28"/>
        </w:rPr>
        <w:t>). Если такое утверждение оказалось ложным, то лицо, его предоставившее, можно привлечь к внедоговор</w:t>
      </w:r>
      <w:r w:rsidR="00A31DB4">
        <w:rPr>
          <w:rFonts w:ascii="Times New Roman" w:hAnsi="Times New Roman" w:cs="Times New Roman"/>
          <w:sz w:val="28"/>
          <w:szCs w:val="28"/>
        </w:rPr>
        <w:t>ной (</w:t>
      </w:r>
      <w:proofErr w:type="spellStart"/>
      <w:r w:rsidR="00A31DB4">
        <w:rPr>
          <w:rFonts w:ascii="Times New Roman" w:hAnsi="Times New Roman" w:cs="Times New Roman"/>
          <w:sz w:val="28"/>
          <w:szCs w:val="28"/>
        </w:rPr>
        <w:t>деликтной</w:t>
      </w:r>
      <w:proofErr w:type="spellEnd"/>
      <w:r w:rsidR="00A31DB4">
        <w:rPr>
          <w:rFonts w:ascii="Times New Roman" w:hAnsi="Times New Roman" w:cs="Times New Roman"/>
          <w:sz w:val="28"/>
          <w:szCs w:val="28"/>
        </w:rPr>
        <w:t>) ответственности</w:t>
      </w:r>
      <w:r w:rsidR="00EF3CF3">
        <w:rPr>
          <w:rFonts w:ascii="Times New Roman" w:hAnsi="Times New Roman" w:cs="Times New Roman"/>
          <w:sz w:val="28"/>
          <w:szCs w:val="28"/>
        </w:rPr>
        <w:t xml:space="preserve"> </w:t>
      </w:r>
      <w:r w:rsidR="00EF3CF3" w:rsidRPr="00EF3CF3">
        <w:rPr>
          <w:rFonts w:ascii="Times New Roman" w:hAnsi="Times New Roman" w:cs="Times New Roman"/>
          <w:sz w:val="28"/>
          <w:szCs w:val="28"/>
        </w:rPr>
        <w:t>[</w:t>
      </w:r>
      <w:r w:rsidR="00EF3CF3">
        <w:rPr>
          <w:rFonts w:ascii="Times New Roman" w:hAnsi="Times New Roman" w:cs="Times New Roman"/>
          <w:sz w:val="28"/>
          <w:szCs w:val="28"/>
        </w:rPr>
        <w:t>2, с. 116-117</w:t>
      </w:r>
      <w:r w:rsidR="00EF3CF3" w:rsidRPr="00EF3CF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72F" w:rsidRDefault="00D271CC" w:rsidP="0071100E">
      <w:pPr>
        <w:rPr>
          <w:rFonts w:ascii="Times New Roman" w:hAnsi="Times New Roman" w:cs="Times New Roman"/>
          <w:sz w:val="28"/>
          <w:szCs w:val="28"/>
        </w:rPr>
      </w:pPr>
      <w:r w:rsidRPr="00F31A10">
        <w:rPr>
          <w:rFonts w:ascii="Times New Roman" w:hAnsi="Times New Roman" w:cs="Times New Roman"/>
          <w:i/>
          <w:sz w:val="28"/>
          <w:szCs w:val="28"/>
        </w:rPr>
        <w:t>Заверения и гарантии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0A2">
        <w:rPr>
          <w:rFonts w:ascii="Times New Roman" w:hAnsi="Times New Roman" w:cs="Times New Roman"/>
          <w:sz w:val="28"/>
          <w:szCs w:val="28"/>
        </w:rPr>
        <w:t xml:space="preserve">в праве Англии и США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560A2">
        <w:rPr>
          <w:rFonts w:ascii="Times New Roman" w:hAnsi="Times New Roman" w:cs="Times New Roman"/>
          <w:sz w:val="28"/>
          <w:szCs w:val="28"/>
        </w:rPr>
        <w:t xml:space="preserve"> </w:t>
      </w:r>
      <w:r w:rsidR="00D117D1">
        <w:rPr>
          <w:rFonts w:ascii="Times New Roman" w:hAnsi="Times New Roman" w:cs="Times New Roman"/>
          <w:sz w:val="28"/>
          <w:szCs w:val="28"/>
        </w:rPr>
        <w:t xml:space="preserve">это </w:t>
      </w:r>
      <w:r w:rsidR="00B560A2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, который позволяет привлечь к ответственности сторону </w:t>
      </w:r>
      <w:r w:rsidR="00B560A2">
        <w:rPr>
          <w:rFonts w:ascii="Times New Roman" w:hAnsi="Times New Roman" w:cs="Times New Roman"/>
          <w:sz w:val="28"/>
          <w:szCs w:val="28"/>
        </w:rPr>
        <w:t>за предоставление недостоверной информации</w:t>
      </w:r>
      <w:r w:rsidR="00EF3CF3">
        <w:rPr>
          <w:rFonts w:ascii="Times New Roman" w:hAnsi="Times New Roman" w:cs="Times New Roman"/>
          <w:sz w:val="28"/>
          <w:szCs w:val="28"/>
        </w:rPr>
        <w:t xml:space="preserve"> </w:t>
      </w:r>
      <w:r w:rsidR="00EF3CF3" w:rsidRPr="00EF3CF3">
        <w:rPr>
          <w:rFonts w:ascii="Times New Roman" w:hAnsi="Times New Roman" w:cs="Times New Roman"/>
          <w:sz w:val="28"/>
          <w:szCs w:val="28"/>
        </w:rPr>
        <w:t>[</w:t>
      </w:r>
      <w:r w:rsidR="00D117D1">
        <w:rPr>
          <w:rFonts w:ascii="Times New Roman" w:hAnsi="Times New Roman" w:cs="Times New Roman"/>
          <w:sz w:val="28"/>
          <w:szCs w:val="28"/>
        </w:rPr>
        <w:t>7</w:t>
      </w:r>
      <w:r w:rsidR="00EF3CF3">
        <w:rPr>
          <w:rFonts w:ascii="Times New Roman" w:hAnsi="Times New Roman" w:cs="Times New Roman"/>
          <w:sz w:val="28"/>
          <w:szCs w:val="28"/>
        </w:rPr>
        <w:t>, с. 100</w:t>
      </w:r>
      <w:r w:rsidR="00EF3CF3" w:rsidRPr="00EF3CF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A10" w:rsidRDefault="00CF485C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юридической литературе отмечается, что о</w:t>
      </w:r>
      <w:r w:rsidR="00F31A10">
        <w:rPr>
          <w:rFonts w:ascii="Times New Roman" w:hAnsi="Times New Roman" w:cs="Times New Roman"/>
          <w:sz w:val="28"/>
          <w:szCs w:val="28"/>
        </w:rPr>
        <w:t>дной из причин включения в ГК РФ</w:t>
      </w:r>
      <w:r w:rsidR="00B560A2">
        <w:rPr>
          <w:rFonts w:ascii="Times New Roman" w:hAnsi="Times New Roman" w:cs="Times New Roman"/>
          <w:sz w:val="28"/>
          <w:szCs w:val="28"/>
        </w:rPr>
        <w:t xml:space="preserve"> статьи о заверениях</w:t>
      </w:r>
      <w:r w:rsidR="00F31A10">
        <w:rPr>
          <w:rFonts w:ascii="Times New Roman" w:hAnsi="Times New Roman" w:cs="Times New Roman"/>
          <w:sz w:val="28"/>
          <w:szCs w:val="28"/>
        </w:rPr>
        <w:t xml:space="preserve"> стала ситуация, которая складывалась на рынке купли-продажи акций и долей компаний</w:t>
      </w:r>
      <w:r w:rsidR="00EF3CF3">
        <w:rPr>
          <w:rFonts w:ascii="Times New Roman" w:hAnsi="Times New Roman" w:cs="Times New Roman"/>
          <w:sz w:val="28"/>
          <w:szCs w:val="28"/>
        </w:rPr>
        <w:t xml:space="preserve"> </w:t>
      </w:r>
      <w:r w:rsidR="00EF3CF3" w:rsidRPr="00EF3CF3">
        <w:rPr>
          <w:rFonts w:ascii="Times New Roman" w:hAnsi="Times New Roman" w:cs="Times New Roman"/>
          <w:sz w:val="28"/>
          <w:szCs w:val="28"/>
        </w:rPr>
        <w:t>[</w:t>
      </w:r>
      <w:r w:rsidR="00D117D1">
        <w:rPr>
          <w:rFonts w:ascii="Times New Roman" w:hAnsi="Times New Roman" w:cs="Times New Roman"/>
          <w:sz w:val="28"/>
          <w:szCs w:val="28"/>
        </w:rPr>
        <w:t>5</w:t>
      </w:r>
      <w:r w:rsidR="00EF3CF3">
        <w:rPr>
          <w:rFonts w:ascii="Times New Roman" w:hAnsi="Times New Roman" w:cs="Times New Roman"/>
          <w:sz w:val="28"/>
          <w:szCs w:val="28"/>
        </w:rPr>
        <w:t>, с. 50</w:t>
      </w:r>
      <w:r w:rsidR="00EF3CF3" w:rsidRPr="00EF3CF3">
        <w:rPr>
          <w:rFonts w:ascii="Times New Roman" w:hAnsi="Times New Roman" w:cs="Times New Roman"/>
          <w:sz w:val="28"/>
          <w:szCs w:val="28"/>
        </w:rPr>
        <w:t>]</w:t>
      </w:r>
      <w:r w:rsidR="00F31A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10">
        <w:rPr>
          <w:rFonts w:ascii="Times New Roman" w:hAnsi="Times New Roman" w:cs="Times New Roman"/>
          <w:sz w:val="28"/>
          <w:szCs w:val="28"/>
        </w:rPr>
        <w:t>На практике часто возникала ситуация, когда лицо, заключив договор, приобретало пакеты акций или доли компании, а впоследствии выяснялось, что сама компания, акции или доли которой были приобретены, была убыточной или</w:t>
      </w:r>
      <w:r w:rsidR="00A31DB4">
        <w:rPr>
          <w:rFonts w:ascii="Times New Roman" w:hAnsi="Times New Roman" w:cs="Times New Roman"/>
          <w:sz w:val="28"/>
          <w:szCs w:val="28"/>
        </w:rPr>
        <w:t xml:space="preserve"> имела множество скрытых долгов, претензии со стороны административных органов. При этом данные обстоятельства изначально не были оговорены в договоре, и даже предварительная экспертиза (</w:t>
      </w:r>
      <w:r w:rsidR="00A31DB4">
        <w:rPr>
          <w:rFonts w:ascii="Times New Roman" w:hAnsi="Times New Roman" w:cs="Times New Roman"/>
          <w:sz w:val="28"/>
          <w:szCs w:val="28"/>
          <w:lang w:val="en-US"/>
        </w:rPr>
        <w:t>due</w:t>
      </w:r>
      <w:r w:rsidR="00A31DB4" w:rsidRPr="00A31DB4">
        <w:rPr>
          <w:rFonts w:ascii="Times New Roman" w:hAnsi="Times New Roman" w:cs="Times New Roman"/>
          <w:sz w:val="28"/>
          <w:szCs w:val="28"/>
        </w:rPr>
        <w:t xml:space="preserve"> </w:t>
      </w:r>
      <w:r w:rsidR="00A31DB4">
        <w:rPr>
          <w:rFonts w:ascii="Times New Roman" w:hAnsi="Times New Roman" w:cs="Times New Roman"/>
          <w:sz w:val="28"/>
          <w:szCs w:val="28"/>
          <w:lang w:val="en-US"/>
        </w:rPr>
        <w:t>diligence</w:t>
      </w:r>
      <w:r w:rsidR="00A31DB4">
        <w:rPr>
          <w:rFonts w:ascii="Times New Roman" w:hAnsi="Times New Roman" w:cs="Times New Roman"/>
          <w:sz w:val="28"/>
          <w:szCs w:val="28"/>
        </w:rPr>
        <w:t>) не всегда способна выявить подобные недостатки.</w:t>
      </w:r>
      <w:r w:rsidR="00F31A10">
        <w:rPr>
          <w:rFonts w:ascii="Times New Roman" w:hAnsi="Times New Roman" w:cs="Times New Roman"/>
          <w:sz w:val="28"/>
          <w:szCs w:val="28"/>
        </w:rPr>
        <w:t xml:space="preserve"> В такой ситуации у пострадавшей стороны было несколько вариантов дальнейших действий:</w:t>
      </w:r>
    </w:p>
    <w:p w:rsidR="00F31A10" w:rsidRDefault="00F31A10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сделку недействительной со ссылкой на обман или заблуждение (ст.ст. 178, 179 ГК РФ) и взыскать убытки;</w:t>
      </w:r>
    </w:p>
    <w:p w:rsidR="006E7A60" w:rsidRDefault="00F31A10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Воспользоваться специальными средствами защиты, предусмотренными для договора купли-продажи (</w:t>
      </w:r>
      <w:r w:rsidRPr="006E7A60">
        <w:rPr>
          <w:rFonts w:ascii="Times New Roman" w:hAnsi="Times New Roman" w:cs="Times New Roman"/>
          <w:sz w:val="28"/>
          <w:szCs w:val="28"/>
        </w:rPr>
        <w:t>ст. 475 ГК РФ</w:t>
      </w:r>
      <w:r w:rsidR="006E7A60" w:rsidRPr="006E7A60">
        <w:rPr>
          <w:rFonts w:ascii="Times New Roman" w:hAnsi="Times New Roman" w:cs="Times New Roman"/>
          <w:sz w:val="28"/>
          <w:szCs w:val="28"/>
        </w:rPr>
        <w:t xml:space="preserve"> последствия передачи товара ненадлежащего качества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3C215D">
        <w:rPr>
          <w:rFonts w:ascii="Times New Roman" w:hAnsi="Times New Roman" w:cs="Times New Roman"/>
          <w:sz w:val="28"/>
          <w:szCs w:val="28"/>
        </w:rPr>
        <w:t xml:space="preserve"> Лица обращались в суд с данными требованиями, однако суд</w:t>
      </w:r>
      <w:r w:rsidR="006E7A60">
        <w:rPr>
          <w:rFonts w:ascii="Times New Roman" w:hAnsi="Times New Roman" w:cs="Times New Roman"/>
          <w:sz w:val="28"/>
          <w:szCs w:val="28"/>
        </w:rPr>
        <w:t>ы отказывал</w:t>
      </w:r>
      <w:r w:rsidR="00AE22E9">
        <w:rPr>
          <w:rFonts w:ascii="Times New Roman" w:hAnsi="Times New Roman" w:cs="Times New Roman"/>
          <w:sz w:val="28"/>
          <w:szCs w:val="28"/>
        </w:rPr>
        <w:t>и</w:t>
      </w:r>
      <w:r w:rsidR="006E7A60">
        <w:rPr>
          <w:rFonts w:ascii="Times New Roman" w:hAnsi="Times New Roman" w:cs="Times New Roman"/>
          <w:sz w:val="28"/>
          <w:szCs w:val="28"/>
        </w:rPr>
        <w:t xml:space="preserve"> в их удовлетворении, ссылаясь на то, что нормы о качестве товара неприменимы к акциям и долям компании в силу их особых свойств. </w:t>
      </w:r>
    </w:p>
    <w:p w:rsidR="00A31DB4" w:rsidRDefault="00A31DB4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необходимо отметить, что н</w:t>
      </w:r>
      <w:r w:rsidR="00081E34">
        <w:rPr>
          <w:rFonts w:ascii="Times New Roman" w:hAnsi="Times New Roman" w:cs="Times New Roman"/>
          <w:sz w:val="28"/>
          <w:szCs w:val="28"/>
        </w:rPr>
        <w:t xml:space="preserve">а практике суды иногда удовлетворяли требования, </w:t>
      </w:r>
      <w:r>
        <w:rPr>
          <w:rFonts w:ascii="Times New Roman" w:hAnsi="Times New Roman" w:cs="Times New Roman"/>
          <w:sz w:val="28"/>
          <w:szCs w:val="28"/>
        </w:rPr>
        <w:t xml:space="preserve">заявленные в соответствии со </w:t>
      </w:r>
      <w:r w:rsidR="00081E34">
        <w:rPr>
          <w:rFonts w:ascii="Times New Roman" w:hAnsi="Times New Roman" w:cs="Times New Roman"/>
          <w:sz w:val="28"/>
          <w:szCs w:val="28"/>
        </w:rPr>
        <w:t>ст. 475</w:t>
      </w:r>
      <w:r w:rsidR="00D117D1">
        <w:rPr>
          <w:rFonts w:ascii="Times New Roman" w:hAnsi="Times New Roman" w:cs="Times New Roman"/>
          <w:sz w:val="28"/>
          <w:szCs w:val="28"/>
        </w:rPr>
        <w:t xml:space="preserve"> ГК РФ</w:t>
      </w:r>
      <w:r w:rsidR="00081E34">
        <w:rPr>
          <w:rFonts w:ascii="Times New Roman" w:hAnsi="Times New Roman" w:cs="Times New Roman"/>
          <w:sz w:val="28"/>
          <w:szCs w:val="28"/>
        </w:rPr>
        <w:t>, но только в тех случаях, когда стороны</w:t>
      </w:r>
      <w:r w:rsidR="00D117D1">
        <w:rPr>
          <w:rFonts w:ascii="Times New Roman" w:hAnsi="Times New Roman" w:cs="Times New Roman"/>
          <w:sz w:val="28"/>
          <w:szCs w:val="28"/>
        </w:rPr>
        <w:t xml:space="preserve"> </w:t>
      </w:r>
      <w:r w:rsidR="00081E34">
        <w:rPr>
          <w:rFonts w:ascii="Times New Roman" w:hAnsi="Times New Roman" w:cs="Times New Roman"/>
          <w:sz w:val="28"/>
          <w:szCs w:val="28"/>
        </w:rPr>
        <w:t>дополнительно оговаривали в договоре условия о качестве товара</w:t>
      </w:r>
      <w:r w:rsidR="001B1E61">
        <w:rPr>
          <w:rFonts w:ascii="Times New Roman" w:hAnsi="Times New Roman" w:cs="Times New Roman"/>
          <w:sz w:val="28"/>
          <w:szCs w:val="28"/>
        </w:rPr>
        <w:t xml:space="preserve"> (акций</w:t>
      </w:r>
      <w:r>
        <w:rPr>
          <w:rFonts w:ascii="Times New Roman" w:hAnsi="Times New Roman" w:cs="Times New Roman"/>
          <w:sz w:val="28"/>
          <w:szCs w:val="28"/>
        </w:rPr>
        <w:t>, долей)</w:t>
      </w:r>
      <w:r w:rsidR="00081E34">
        <w:rPr>
          <w:rFonts w:ascii="Times New Roman" w:hAnsi="Times New Roman" w:cs="Times New Roman"/>
          <w:sz w:val="28"/>
          <w:szCs w:val="28"/>
        </w:rPr>
        <w:t xml:space="preserve"> – включали ра</w:t>
      </w:r>
      <w:r>
        <w:rPr>
          <w:rFonts w:ascii="Times New Roman" w:hAnsi="Times New Roman" w:cs="Times New Roman"/>
          <w:sz w:val="28"/>
          <w:szCs w:val="28"/>
        </w:rPr>
        <w:t xml:space="preserve">здел с заверениями и гарантиями. </w:t>
      </w:r>
    </w:p>
    <w:p w:rsidR="00081E34" w:rsidRDefault="00081E34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431.2 ГК РФ </w:t>
      </w:r>
      <w:r w:rsidR="00CF656C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призвана урегулировать практику, связанную с предоставлением сторонами </w:t>
      </w:r>
      <w:r w:rsidR="00CF485C">
        <w:rPr>
          <w:rFonts w:ascii="Times New Roman" w:hAnsi="Times New Roman" w:cs="Times New Roman"/>
          <w:sz w:val="28"/>
          <w:szCs w:val="28"/>
        </w:rPr>
        <w:t>договора определённой информации и предусмотреть дополнительное средство защиты на тот случай, ес</w:t>
      </w:r>
      <w:r w:rsidR="00A31DB4">
        <w:rPr>
          <w:rFonts w:ascii="Times New Roman" w:hAnsi="Times New Roman" w:cs="Times New Roman"/>
          <w:sz w:val="28"/>
          <w:szCs w:val="28"/>
        </w:rPr>
        <w:t>ли такая информация окажется не</w:t>
      </w:r>
      <w:r w:rsidR="00CF485C">
        <w:rPr>
          <w:rFonts w:ascii="Times New Roman" w:hAnsi="Times New Roman" w:cs="Times New Roman"/>
          <w:sz w:val="28"/>
          <w:szCs w:val="28"/>
        </w:rPr>
        <w:t>достоверной.</w:t>
      </w:r>
    </w:p>
    <w:p w:rsidR="00CF485C" w:rsidRDefault="00CF485C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Представляется, что рассматриваемую пр</w:t>
      </w:r>
      <w:r w:rsidR="00CF656C">
        <w:rPr>
          <w:rFonts w:ascii="Times New Roman" w:hAnsi="Times New Roman" w:cs="Times New Roman"/>
          <w:sz w:val="28"/>
          <w:szCs w:val="28"/>
        </w:rPr>
        <w:t xml:space="preserve">облемы можно было решить иначе, </w:t>
      </w:r>
      <w:r>
        <w:rPr>
          <w:rFonts w:ascii="Times New Roman" w:hAnsi="Times New Roman" w:cs="Times New Roman"/>
          <w:sz w:val="28"/>
          <w:szCs w:val="28"/>
        </w:rPr>
        <w:t xml:space="preserve">за счёт расширительного толкования ст. 475 ГК РФ. </w:t>
      </w:r>
      <w:r w:rsidR="003422C9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«качество» означает степень достоинства, ценности, пригодности вещи, действия</w:t>
      </w:r>
      <w:r w:rsidR="00D117D1">
        <w:rPr>
          <w:rFonts w:ascii="Times New Roman" w:hAnsi="Times New Roman" w:cs="Times New Roman"/>
          <w:sz w:val="28"/>
          <w:szCs w:val="28"/>
        </w:rPr>
        <w:t xml:space="preserve"> </w:t>
      </w:r>
      <w:r w:rsidR="00D117D1" w:rsidRPr="00D117D1">
        <w:rPr>
          <w:rFonts w:ascii="Times New Roman" w:hAnsi="Times New Roman" w:cs="Times New Roman"/>
          <w:sz w:val="28"/>
          <w:szCs w:val="28"/>
        </w:rPr>
        <w:t>[</w:t>
      </w:r>
      <w:r w:rsidR="00D117D1">
        <w:rPr>
          <w:rFonts w:ascii="Times New Roman" w:hAnsi="Times New Roman" w:cs="Times New Roman"/>
          <w:sz w:val="28"/>
          <w:szCs w:val="28"/>
        </w:rPr>
        <w:t xml:space="preserve">6, с. </w:t>
      </w:r>
      <w:r w:rsidR="00D117D1">
        <w:rPr>
          <w:rFonts w:ascii="Times New Roman" w:hAnsi="Times New Roman" w:cs="Times New Roman"/>
          <w:sz w:val="28"/>
          <w:szCs w:val="28"/>
        </w:rPr>
        <w:lastRenderedPageBreak/>
        <w:t>266</w:t>
      </w:r>
      <w:r w:rsidR="00D117D1" w:rsidRPr="00D117D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Инвестиционные сделки, т.е. сделки по купле-продаже акций и долей совершаются для того, что в последующем инвесторы могли осуществлять предпринимательскую деятельность, владея акциями или долями соответствующей компании. Если данная компания оказалась убыточной, то ценность этой компании для ведения бизнеса, а равно и ценность акций или долей будет существенно ниже. </w:t>
      </w:r>
      <w:r w:rsidRPr="00300F94">
        <w:rPr>
          <w:rFonts w:ascii="Times New Roman" w:hAnsi="Times New Roman" w:cs="Times New Roman"/>
          <w:i/>
          <w:sz w:val="28"/>
          <w:szCs w:val="28"/>
        </w:rPr>
        <w:t>Таким образом, качество акций и долей косвенным образом определяется через качество, ценность самой компании, которой эти акции или доли принадлежат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3F01">
        <w:rPr>
          <w:rFonts w:ascii="Times New Roman" w:hAnsi="Times New Roman" w:cs="Times New Roman"/>
          <w:sz w:val="28"/>
          <w:szCs w:val="28"/>
        </w:rPr>
        <w:t xml:space="preserve">Похожим образом </w:t>
      </w:r>
      <w:proofErr w:type="gramStart"/>
      <w:r w:rsidR="00423F01">
        <w:rPr>
          <w:rFonts w:ascii="Times New Roman" w:hAnsi="Times New Roman" w:cs="Times New Roman"/>
          <w:sz w:val="28"/>
          <w:szCs w:val="28"/>
        </w:rPr>
        <w:t>указанную</w:t>
      </w:r>
      <w:proofErr w:type="gramEnd"/>
      <w:r w:rsidR="00423F01">
        <w:rPr>
          <w:rFonts w:ascii="Times New Roman" w:hAnsi="Times New Roman" w:cs="Times New Roman"/>
          <w:sz w:val="28"/>
          <w:szCs w:val="28"/>
        </w:rPr>
        <w:t xml:space="preserve"> проблемы решили правопорядки Франции и Германии.</w:t>
      </w:r>
    </w:p>
    <w:p w:rsidR="00B560A2" w:rsidRDefault="00300F94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для договоров купли-продажи существуют специальные инструменты, позволяющие привлечь контрагента к договорной ответственности за предоставления недостоверной информации. </w:t>
      </w:r>
      <w:r w:rsidR="00765286">
        <w:rPr>
          <w:rFonts w:ascii="Times New Roman" w:hAnsi="Times New Roman" w:cs="Times New Roman"/>
          <w:sz w:val="28"/>
          <w:szCs w:val="28"/>
        </w:rPr>
        <w:t>В такой ситуации не было необходи</w:t>
      </w:r>
      <w:r w:rsidR="00CF656C">
        <w:rPr>
          <w:rFonts w:ascii="Times New Roman" w:hAnsi="Times New Roman" w:cs="Times New Roman"/>
          <w:sz w:val="28"/>
          <w:szCs w:val="28"/>
        </w:rPr>
        <w:t>мости вводить специальную норму</w:t>
      </w:r>
      <w:r w:rsidR="00765286">
        <w:rPr>
          <w:rFonts w:ascii="Times New Roman" w:hAnsi="Times New Roman" w:cs="Times New Roman"/>
          <w:sz w:val="28"/>
          <w:szCs w:val="28"/>
        </w:rPr>
        <w:t>.</w:t>
      </w:r>
    </w:p>
    <w:p w:rsidR="00300F94" w:rsidRDefault="00B560A2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сторонники нормы о заверениях </w:t>
      </w:r>
      <w:r w:rsidR="00300F94">
        <w:rPr>
          <w:rFonts w:ascii="Times New Roman" w:hAnsi="Times New Roman" w:cs="Times New Roman"/>
          <w:sz w:val="28"/>
          <w:szCs w:val="28"/>
        </w:rPr>
        <w:t xml:space="preserve">отмечают, что заверения, могут, во-первых, включаться в другие договоры помимо купли-продажи, а, во-вторых, они необязательно могут касаться качества передаваемого по договору предмета. </w:t>
      </w:r>
      <w:r w:rsidR="00A8794B">
        <w:rPr>
          <w:rFonts w:ascii="Times New Roman" w:hAnsi="Times New Roman" w:cs="Times New Roman"/>
          <w:sz w:val="28"/>
          <w:szCs w:val="28"/>
        </w:rPr>
        <w:t>Заверения могут касаться стороны договора (</w:t>
      </w:r>
      <w:r w:rsidR="00300F94">
        <w:rPr>
          <w:rFonts w:ascii="Times New Roman" w:hAnsi="Times New Roman" w:cs="Times New Roman"/>
          <w:sz w:val="28"/>
          <w:szCs w:val="28"/>
        </w:rPr>
        <w:t>контрагент заверяет, что у него есть необходимые лицензии, разрешения для осуществления тех или иных работ</w:t>
      </w:r>
      <w:r w:rsidR="00A8794B">
        <w:rPr>
          <w:rFonts w:ascii="Times New Roman" w:hAnsi="Times New Roman" w:cs="Times New Roman"/>
          <w:sz w:val="28"/>
          <w:szCs w:val="28"/>
        </w:rPr>
        <w:t>), судьбы договора (</w:t>
      </w:r>
      <w:r w:rsidR="00300F94">
        <w:rPr>
          <w:rFonts w:ascii="Times New Roman" w:hAnsi="Times New Roman" w:cs="Times New Roman"/>
          <w:sz w:val="28"/>
          <w:szCs w:val="28"/>
        </w:rPr>
        <w:t xml:space="preserve">директор компании заверяет контрагента в том, что он уполномочен совершать сделку в силу устава и иных внутренних документов компании или что сделка не является для </w:t>
      </w:r>
      <w:r w:rsidR="00A8794B">
        <w:rPr>
          <w:rFonts w:ascii="Times New Roman" w:hAnsi="Times New Roman" w:cs="Times New Roman"/>
          <w:sz w:val="28"/>
          <w:szCs w:val="28"/>
        </w:rPr>
        <w:t>соответствующей стороны крупной).</w:t>
      </w:r>
    </w:p>
    <w:p w:rsidR="003422C9" w:rsidRDefault="003422C9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случаях ответ на вопрос о целесообразности введения ст. 431.2 ГК РФ уже не столь очевиден.</w:t>
      </w:r>
      <w:r w:rsidR="00765286">
        <w:rPr>
          <w:rFonts w:ascii="Times New Roman" w:hAnsi="Times New Roman" w:cs="Times New Roman"/>
          <w:sz w:val="28"/>
          <w:szCs w:val="28"/>
        </w:rPr>
        <w:t xml:space="preserve"> </w:t>
      </w:r>
      <w:r w:rsidR="00A8794B">
        <w:rPr>
          <w:rFonts w:ascii="Times New Roman" w:hAnsi="Times New Roman" w:cs="Times New Roman"/>
          <w:sz w:val="28"/>
          <w:szCs w:val="28"/>
        </w:rPr>
        <w:t>Однако и на этот вопрос можно найти ответ в ГК РФ. Он во много</w:t>
      </w:r>
      <w:r w:rsidR="0024190E">
        <w:rPr>
          <w:rFonts w:ascii="Times New Roman" w:hAnsi="Times New Roman" w:cs="Times New Roman"/>
          <w:sz w:val="28"/>
          <w:szCs w:val="28"/>
        </w:rPr>
        <w:t>м связан с тем, что мы вкладываем в содержание понятия «обязательство».</w:t>
      </w:r>
      <w:r w:rsidR="00A8794B">
        <w:rPr>
          <w:rFonts w:ascii="Times New Roman" w:hAnsi="Times New Roman" w:cs="Times New Roman"/>
          <w:sz w:val="28"/>
          <w:szCs w:val="28"/>
        </w:rPr>
        <w:t xml:space="preserve"> </w:t>
      </w:r>
      <w:r w:rsidR="0024190E">
        <w:rPr>
          <w:rFonts w:ascii="Times New Roman" w:hAnsi="Times New Roman" w:cs="Times New Roman"/>
          <w:sz w:val="28"/>
          <w:szCs w:val="28"/>
        </w:rPr>
        <w:t xml:space="preserve">Обязательство в российском гражданском законодательстве </w:t>
      </w:r>
      <w:proofErr w:type="gramStart"/>
      <w:r w:rsidR="0024190E">
        <w:rPr>
          <w:rFonts w:ascii="Times New Roman" w:hAnsi="Times New Roman" w:cs="Times New Roman"/>
          <w:sz w:val="28"/>
          <w:szCs w:val="28"/>
        </w:rPr>
        <w:t>рассматривается</w:t>
      </w:r>
      <w:proofErr w:type="gramEnd"/>
      <w:r w:rsidR="0024190E">
        <w:rPr>
          <w:rFonts w:ascii="Times New Roman" w:hAnsi="Times New Roman" w:cs="Times New Roman"/>
          <w:sz w:val="28"/>
          <w:szCs w:val="28"/>
        </w:rPr>
        <w:t xml:space="preserve"> как обязанность лица что-либо сделать или воздержаться от каких-либо действий. Однако такое понимание обязательства восходит ещё к </w:t>
      </w:r>
      <w:r w:rsidR="0024190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4190E" w:rsidRPr="0024190E">
        <w:rPr>
          <w:rFonts w:ascii="Times New Roman" w:hAnsi="Times New Roman" w:cs="Times New Roman"/>
          <w:sz w:val="28"/>
          <w:szCs w:val="28"/>
        </w:rPr>
        <w:t xml:space="preserve"> </w:t>
      </w:r>
      <w:r w:rsidR="00765286">
        <w:rPr>
          <w:rFonts w:ascii="Times New Roman" w:hAnsi="Times New Roman" w:cs="Times New Roman"/>
          <w:sz w:val="28"/>
          <w:szCs w:val="28"/>
        </w:rPr>
        <w:t>веку.</w:t>
      </w:r>
      <w:r w:rsidR="00241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тем, в правопорядках стран континентальной системы, в частности речь идёт о Германии, обязательства трактуются более широко. </w:t>
      </w:r>
    </w:p>
    <w:p w:rsidR="003422C9" w:rsidRDefault="00396A96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правопорядке Германии признаются так называемые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обязательства, т.е. обязательства по обеспечению достоверности предоставляемой информации. </w:t>
      </w:r>
      <w:r w:rsidR="003422C9">
        <w:rPr>
          <w:rFonts w:ascii="Times New Roman" w:hAnsi="Times New Roman" w:cs="Times New Roman"/>
          <w:sz w:val="28"/>
          <w:szCs w:val="28"/>
        </w:rPr>
        <w:t>Здесь необходимо отметить, что в самом ГГУ в § 241</w:t>
      </w:r>
      <w:r w:rsidR="00D117D1">
        <w:rPr>
          <w:rFonts w:ascii="Times New Roman" w:hAnsi="Times New Roman" w:cs="Times New Roman"/>
          <w:sz w:val="28"/>
          <w:szCs w:val="28"/>
        </w:rPr>
        <w:t xml:space="preserve"> </w:t>
      </w:r>
      <w:r w:rsidR="00D117D1" w:rsidRPr="00D117D1">
        <w:rPr>
          <w:rFonts w:ascii="Times New Roman" w:hAnsi="Times New Roman" w:cs="Times New Roman"/>
          <w:sz w:val="28"/>
          <w:szCs w:val="28"/>
        </w:rPr>
        <w:t>[</w:t>
      </w:r>
      <w:r w:rsidR="00D117D1">
        <w:rPr>
          <w:rFonts w:ascii="Times New Roman" w:hAnsi="Times New Roman" w:cs="Times New Roman"/>
          <w:sz w:val="28"/>
          <w:szCs w:val="28"/>
        </w:rPr>
        <w:t>4</w:t>
      </w:r>
      <w:r w:rsidR="00D117D1" w:rsidRPr="00D117D1">
        <w:rPr>
          <w:rFonts w:ascii="Times New Roman" w:hAnsi="Times New Roman" w:cs="Times New Roman"/>
          <w:sz w:val="28"/>
          <w:szCs w:val="28"/>
        </w:rPr>
        <w:t>]</w:t>
      </w:r>
      <w:r w:rsidR="003422C9">
        <w:rPr>
          <w:rFonts w:ascii="Times New Roman" w:hAnsi="Times New Roman" w:cs="Times New Roman"/>
          <w:sz w:val="28"/>
          <w:szCs w:val="28"/>
        </w:rPr>
        <w:t xml:space="preserve">, содержащем определение обязательства, </w:t>
      </w:r>
      <w:proofErr w:type="gramStart"/>
      <w:r w:rsidR="003422C9">
        <w:rPr>
          <w:rFonts w:ascii="Times New Roman" w:hAnsi="Times New Roman" w:cs="Times New Roman"/>
          <w:sz w:val="28"/>
          <w:szCs w:val="28"/>
        </w:rPr>
        <w:t>нет упоминаний об обязательствах сторон обеспечить</w:t>
      </w:r>
      <w:proofErr w:type="gramEnd"/>
      <w:r w:rsidR="003422C9">
        <w:rPr>
          <w:rFonts w:ascii="Times New Roman" w:hAnsi="Times New Roman" w:cs="Times New Roman"/>
          <w:sz w:val="28"/>
          <w:szCs w:val="28"/>
        </w:rPr>
        <w:t xml:space="preserve"> достоверность предоставляемой информации. Существование информационных обязательств было признано на уровне судебной практики за счёт расширительного толкования п</w:t>
      </w:r>
      <w:r w:rsidR="00C329A2">
        <w:rPr>
          <w:rFonts w:ascii="Times New Roman" w:hAnsi="Times New Roman" w:cs="Times New Roman"/>
          <w:sz w:val="28"/>
          <w:szCs w:val="28"/>
        </w:rPr>
        <w:t>оложений ГГУ об обязательствах.</w:t>
      </w:r>
    </w:p>
    <w:p w:rsidR="00423F01" w:rsidRDefault="003422C9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нашему мнению, России следовало воспользоваться положительным опытом Германии в рассматриваемом вопросе. На уровне судебной практики стоило закрепить более широкое понимание обязательств, признав возможность существования между сторонами помимо традиционных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елать что-то или воздержаться от каких-либо действий обязательств по обеспечению достоверности предоставляемой информации (информационных обязательств). Такой подход позволил бы нам избежать необходимости введения специальных норм, нарушающих сис</w:t>
      </w:r>
      <w:r w:rsidR="00C329A2">
        <w:rPr>
          <w:rFonts w:ascii="Times New Roman" w:hAnsi="Times New Roman" w:cs="Times New Roman"/>
          <w:sz w:val="28"/>
          <w:szCs w:val="28"/>
        </w:rPr>
        <w:t>тему гражданского права России.</w:t>
      </w:r>
    </w:p>
    <w:p w:rsidR="00352C88" w:rsidRDefault="00BE64D3" w:rsidP="005D7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приходим к выводу о том, что введение в ГК РФ новой статьи, посвящённой заверениям об обстоятельствах, не является целесообразным. Целью данной нормы являлось закрепление механизма привлечения лица к ответственности за предоставление недостоверной информации в связи с договором. Однако, как показал проведённый нами анализ норм ГК РФ, тех же целей можно было</w:t>
      </w:r>
      <w:r w:rsidR="00765286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 достичь посредством уже</w:t>
      </w:r>
      <w:r w:rsidR="00C329A2">
        <w:rPr>
          <w:rFonts w:ascii="Times New Roman" w:hAnsi="Times New Roman" w:cs="Times New Roman"/>
          <w:sz w:val="28"/>
          <w:szCs w:val="28"/>
        </w:rPr>
        <w:t xml:space="preserve"> существующих институтов ГК РФ.</w:t>
      </w:r>
    </w:p>
    <w:p w:rsidR="005D73B6" w:rsidRDefault="005D73B6" w:rsidP="005D73B6">
      <w:pPr>
        <w:rPr>
          <w:rFonts w:ascii="Times New Roman" w:hAnsi="Times New Roman" w:cs="Times New Roman"/>
          <w:sz w:val="28"/>
          <w:szCs w:val="28"/>
        </w:rPr>
      </w:pPr>
    </w:p>
    <w:p w:rsidR="00352C88" w:rsidRPr="00352C88" w:rsidRDefault="00352C88" w:rsidP="005D73B6">
      <w:pPr>
        <w:rPr>
          <w:rFonts w:ascii="Times New Roman" w:hAnsi="Times New Roman" w:cs="Times New Roman"/>
          <w:b/>
          <w:sz w:val="28"/>
          <w:szCs w:val="28"/>
        </w:rPr>
      </w:pPr>
      <w:r w:rsidRPr="00352C88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5D73B6">
        <w:rPr>
          <w:rFonts w:ascii="Times New Roman" w:hAnsi="Times New Roman" w:cs="Times New Roman"/>
          <w:b/>
          <w:sz w:val="28"/>
          <w:szCs w:val="28"/>
        </w:rPr>
        <w:t>:</w:t>
      </w:r>
    </w:p>
    <w:p w:rsidR="00D117D1" w:rsidRPr="00352C88" w:rsidRDefault="00D117D1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52C88">
        <w:rPr>
          <w:rFonts w:ascii="Times New Roman" w:hAnsi="Times New Roman" w:cs="Times New Roman"/>
          <w:sz w:val="28"/>
          <w:szCs w:val="28"/>
        </w:rPr>
        <w:t>Айвори</w:t>
      </w:r>
      <w:proofErr w:type="spellEnd"/>
      <w:r w:rsidRPr="00352C88">
        <w:rPr>
          <w:rFonts w:ascii="Times New Roman" w:hAnsi="Times New Roman" w:cs="Times New Roman"/>
          <w:sz w:val="28"/>
          <w:szCs w:val="28"/>
        </w:rPr>
        <w:t xml:space="preserve"> И., Рогоза А. Использование английского права в российских сделках. </w:t>
      </w:r>
      <w:r w:rsidR="005D73B6">
        <w:rPr>
          <w:rFonts w:ascii="Times New Roman" w:hAnsi="Times New Roman" w:cs="Times New Roman"/>
          <w:sz w:val="28"/>
          <w:szCs w:val="28"/>
        </w:rPr>
        <w:t xml:space="preserve">- </w:t>
      </w:r>
      <w:r w:rsidRPr="00352C88">
        <w:rPr>
          <w:rFonts w:ascii="Times New Roman" w:hAnsi="Times New Roman" w:cs="Times New Roman"/>
          <w:sz w:val="28"/>
          <w:szCs w:val="28"/>
        </w:rPr>
        <w:t xml:space="preserve">М., 2012. </w:t>
      </w:r>
      <w:r w:rsidR="005D73B6">
        <w:rPr>
          <w:rFonts w:ascii="Times New Roman" w:hAnsi="Times New Roman" w:cs="Times New Roman"/>
          <w:sz w:val="28"/>
          <w:szCs w:val="28"/>
        </w:rPr>
        <w:t xml:space="preserve">- </w:t>
      </w:r>
      <w:r w:rsidRPr="00352C88">
        <w:rPr>
          <w:rFonts w:ascii="Times New Roman" w:hAnsi="Times New Roman" w:cs="Times New Roman"/>
          <w:sz w:val="28"/>
          <w:szCs w:val="28"/>
        </w:rPr>
        <w:t>136 с.</w:t>
      </w:r>
    </w:p>
    <w:p w:rsidR="00D117D1" w:rsidRPr="00352C88" w:rsidRDefault="00D117D1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352C88">
        <w:rPr>
          <w:rFonts w:ascii="Times New Roman" w:hAnsi="Times New Roman" w:cs="Times New Roman"/>
          <w:sz w:val="28"/>
          <w:szCs w:val="28"/>
        </w:rPr>
        <w:t>Будылин</w:t>
      </w:r>
      <w:proofErr w:type="spellEnd"/>
      <w:r w:rsidRPr="00352C88">
        <w:rPr>
          <w:rFonts w:ascii="Times New Roman" w:hAnsi="Times New Roman" w:cs="Times New Roman"/>
          <w:sz w:val="28"/>
          <w:szCs w:val="28"/>
        </w:rPr>
        <w:t xml:space="preserve"> С.Л. </w:t>
      </w:r>
      <w:hyperlink r:id="rId8" w:history="1">
        <w:r w:rsidRPr="00352C88">
          <w:rPr>
            <w:rStyle w:val="ad"/>
            <w:rFonts w:ascii="Times New Roman" w:hAnsi="Times New Roman" w:cs="Times New Roman"/>
            <w:color w:val="373737"/>
            <w:sz w:val="28"/>
            <w:szCs w:val="28"/>
            <w:u w:val="none"/>
          </w:rPr>
          <w:t>Деликт или нарушение договора? Заверения и гарантии в России и за рубежом</w:t>
        </w:r>
      </w:hyperlink>
      <w:r w:rsidRPr="00352C88">
        <w:rPr>
          <w:rFonts w:ascii="Times New Roman" w:hAnsi="Times New Roman" w:cs="Times New Roman"/>
          <w:sz w:val="28"/>
          <w:szCs w:val="28"/>
        </w:rPr>
        <w:t xml:space="preserve"> // Вестник экономического правосудия Российской Федерации.</w:t>
      </w:r>
      <w:r w:rsidR="005D73B6">
        <w:rPr>
          <w:rFonts w:ascii="Times New Roman" w:hAnsi="Times New Roman" w:cs="Times New Roman"/>
          <w:sz w:val="28"/>
          <w:szCs w:val="28"/>
        </w:rPr>
        <w:t xml:space="preserve">- </w:t>
      </w:r>
      <w:r w:rsidRPr="00352C88">
        <w:rPr>
          <w:rFonts w:ascii="Times New Roman" w:hAnsi="Times New Roman" w:cs="Times New Roman"/>
          <w:sz w:val="28"/>
          <w:szCs w:val="28"/>
        </w:rPr>
        <w:t xml:space="preserve"> 2016. </w:t>
      </w:r>
      <w:r w:rsidR="005D73B6">
        <w:rPr>
          <w:rFonts w:ascii="Times New Roman" w:hAnsi="Times New Roman" w:cs="Times New Roman"/>
          <w:sz w:val="28"/>
          <w:szCs w:val="28"/>
        </w:rPr>
        <w:t xml:space="preserve">- </w:t>
      </w:r>
      <w:r w:rsidRPr="00352C88">
        <w:rPr>
          <w:rFonts w:ascii="Times New Roman" w:hAnsi="Times New Roman" w:cs="Times New Roman"/>
          <w:sz w:val="28"/>
          <w:szCs w:val="28"/>
        </w:rPr>
        <w:t>№ 3.</w:t>
      </w:r>
      <w:r w:rsidR="005D73B6">
        <w:rPr>
          <w:rFonts w:ascii="Times New Roman" w:hAnsi="Times New Roman" w:cs="Times New Roman"/>
          <w:sz w:val="28"/>
          <w:szCs w:val="28"/>
        </w:rPr>
        <w:t xml:space="preserve"> -</w:t>
      </w:r>
      <w:r w:rsidRPr="00352C88">
        <w:rPr>
          <w:rFonts w:ascii="Times New Roman" w:hAnsi="Times New Roman" w:cs="Times New Roman"/>
          <w:sz w:val="28"/>
          <w:szCs w:val="28"/>
        </w:rPr>
        <w:t xml:space="preserve"> С. 96-133.</w:t>
      </w:r>
    </w:p>
    <w:p w:rsidR="00D117D1" w:rsidRPr="00352C88" w:rsidRDefault="00D117D1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52C88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30.11.1994 N 51-ФЗ (ред. от 28.03.2017) // «Российская газета», № 238-239, 08.12.1994.</w:t>
      </w:r>
    </w:p>
    <w:p w:rsidR="00D117D1" w:rsidRDefault="00D117D1" w:rsidP="0071100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Гражданское уложение Германии (ГГУ) от 18.08.1896 (ред. от 02.01.2002) (с изм. и доп. по 31.03.2013) // </w:t>
      </w:r>
      <w:r w:rsidRPr="007B7F7D">
        <w:rPr>
          <w:rFonts w:ascii="Times New Roman" w:eastAsia="Calibri" w:hAnsi="Times New Roman" w:cs="Times New Roman"/>
          <w:sz w:val="28"/>
          <w:szCs w:val="28"/>
        </w:rPr>
        <w:t>СПС «Консультант-Плюс»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17D1" w:rsidRDefault="00D117D1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52C88">
        <w:rPr>
          <w:rFonts w:ascii="Times New Roman" w:hAnsi="Times New Roman" w:cs="Times New Roman"/>
          <w:sz w:val="28"/>
          <w:szCs w:val="28"/>
        </w:rPr>
        <w:t>Карапетов</w:t>
      </w:r>
      <w:proofErr w:type="spellEnd"/>
      <w:r w:rsidRPr="00352C88">
        <w:rPr>
          <w:rFonts w:ascii="Times New Roman" w:hAnsi="Times New Roman" w:cs="Times New Roman"/>
          <w:sz w:val="28"/>
          <w:szCs w:val="28"/>
        </w:rPr>
        <w:t xml:space="preserve"> А.Г. Заверения об обстоятельствах и условия о возмещении потерь в новой редакции ГК РФ // Закон. </w:t>
      </w:r>
      <w:r w:rsidR="005D73B6">
        <w:rPr>
          <w:rFonts w:ascii="Times New Roman" w:hAnsi="Times New Roman" w:cs="Times New Roman"/>
          <w:sz w:val="28"/>
          <w:szCs w:val="28"/>
        </w:rPr>
        <w:t xml:space="preserve">- </w:t>
      </w:r>
      <w:r w:rsidRPr="00352C88">
        <w:rPr>
          <w:rFonts w:ascii="Times New Roman" w:hAnsi="Times New Roman" w:cs="Times New Roman"/>
          <w:sz w:val="28"/>
          <w:szCs w:val="28"/>
        </w:rPr>
        <w:t xml:space="preserve">2015. </w:t>
      </w:r>
      <w:r w:rsidR="005D73B6">
        <w:rPr>
          <w:rFonts w:ascii="Times New Roman" w:hAnsi="Times New Roman" w:cs="Times New Roman"/>
          <w:sz w:val="28"/>
          <w:szCs w:val="28"/>
        </w:rPr>
        <w:t xml:space="preserve">- </w:t>
      </w:r>
      <w:r w:rsidRPr="00352C88">
        <w:rPr>
          <w:rFonts w:ascii="Times New Roman" w:hAnsi="Times New Roman" w:cs="Times New Roman"/>
          <w:sz w:val="28"/>
          <w:szCs w:val="28"/>
        </w:rPr>
        <w:t xml:space="preserve">№ 6. </w:t>
      </w:r>
      <w:r w:rsidR="005D73B6">
        <w:rPr>
          <w:rFonts w:ascii="Times New Roman" w:hAnsi="Times New Roman" w:cs="Times New Roman"/>
          <w:sz w:val="28"/>
          <w:szCs w:val="28"/>
        </w:rPr>
        <w:t xml:space="preserve">- </w:t>
      </w:r>
      <w:r w:rsidRPr="00352C88">
        <w:rPr>
          <w:rFonts w:ascii="Times New Roman" w:hAnsi="Times New Roman" w:cs="Times New Roman"/>
          <w:sz w:val="28"/>
          <w:szCs w:val="28"/>
        </w:rPr>
        <w:t>С. 43-56.</w:t>
      </w:r>
    </w:p>
    <w:p w:rsidR="00D117D1" w:rsidRPr="00352C88" w:rsidRDefault="00D117D1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B7F7D">
        <w:rPr>
          <w:rFonts w:ascii="Times New Roman" w:hAnsi="Times New Roman" w:cs="Times New Roman"/>
          <w:sz w:val="28"/>
          <w:szCs w:val="28"/>
        </w:rPr>
        <w:t>Кузнецов С.А. Современный толковый словарь русског</w:t>
      </w:r>
      <w:r>
        <w:rPr>
          <w:rFonts w:ascii="Times New Roman" w:hAnsi="Times New Roman" w:cs="Times New Roman"/>
          <w:sz w:val="28"/>
          <w:szCs w:val="28"/>
        </w:rPr>
        <w:t xml:space="preserve">о языка. СПб.: «НОРИНТ», 2005. </w:t>
      </w:r>
      <w:r w:rsidR="005D73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960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17D1" w:rsidRPr="00352C88" w:rsidRDefault="00D117D1" w:rsidP="00711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52C88">
        <w:rPr>
          <w:rFonts w:ascii="Times New Roman" w:hAnsi="Times New Roman" w:cs="Times New Roman"/>
          <w:sz w:val="28"/>
          <w:szCs w:val="28"/>
        </w:rPr>
        <w:t>Томсинов</w:t>
      </w:r>
      <w:proofErr w:type="spellEnd"/>
      <w:r w:rsidRPr="00352C88">
        <w:rPr>
          <w:rFonts w:ascii="Times New Roman" w:hAnsi="Times New Roman" w:cs="Times New Roman"/>
          <w:sz w:val="28"/>
          <w:szCs w:val="28"/>
        </w:rPr>
        <w:t xml:space="preserve"> А.В. Заверения об обстоятельствах и возмещение потерь в российском праве в сравнении с </w:t>
      </w:r>
      <w:proofErr w:type="spellStart"/>
      <w:r w:rsidRPr="00352C88">
        <w:rPr>
          <w:rFonts w:ascii="Times New Roman" w:hAnsi="Times New Roman" w:cs="Times New Roman"/>
          <w:sz w:val="28"/>
          <w:szCs w:val="28"/>
        </w:rPr>
        <w:t>representations</w:t>
      </w:r>
      <w:proofErr w:type="spellEnd"/>
      <w:r w:rsidRPr="00352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C88">
        <w:rPr>
          <w:rFonts w:ascii="Times New Roman" w:hAnsi="Times New Roman" w:cs="Times New Roman"/>
          <w:sz w:val="28"/>
          <w:szCs w:val="28"/>
        </w:rPr>
        <w:t>warranties</w:t>
      </w:r>
      <w:proofErr w:type="spellEnd"/>
      <w:r w:rsidRPr="00352C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2C88">
        <w:rPr>
          <w:rFonts w:ascii="Times New Roman" w:hAnsi="Times New Roman" w:cs="Times New Roman"/>
          <w:sz w:val="28"/>
          <w:szCs w:val="28"/>
        </w:rPr>
        <w:t>indemnity</w:t>
      </w:r>
      <w:proofErr w:type="spellEnd"/>
      <w:r w:rsidRPr="00352C88">
        <w:rPr>
          <w:rFonts w:ascii="Times New Roman" w:hAnsi="Times New Roman" w:cs="Times New Roman"/>
          <w:sz w:val="28"/>
          <w:szCs w:val="28"/>
        </w:rPr>
        <w:t xml:space="preserve"> в праве Англии и США // Вестник экономического правосудия Российской Федерации. </w:t>
      </w:r>
      <w:r w:rsidR="005D73B6">
        <w:rPr>
          <w:rFonts w:ascii="Times New Roman" w:hAnsi="Times New Roman" w:cs="Times New Roman"/>
          <w:sz w:val="28"/>
          <w:szCs w:val="28"/>
        </w:rPr>
        <w:t xml:space="preserve">- </w:t>
      </w:r>
      <w:r w:rsidRPr="00352C88">
        <w:rPr>
          <w:rFonts w:ascii="Times New Roman" w:hAnsi="Times New Roman" w:cs="Times New Roman"/>
          <w:sz w:val="28"/>
          <w:szCs w:val="28"/>
        </w:rPr>
        <w:t>2015.</w:t>
      </w:r>
      <w:r w:rsidR="005D73B6">
        <w:rPr>
          <w:rFonts w:ascii="Times New Roman" w:hAnsi="Times New Roman" w:cs="Times New Roman"/>
          <w:sz w:val="28"/>
          <w:szCs w:val="28"/>
        </w:rPr>
        <w:t xml:space="preserve">- </w:t>
      </w:r>
      <w:r w:rsidRPr="00352C88">
        <w:rPr>
          <w:rFonts w:ascii="Times New Roman" w:hAnsi="Times New Roman" w:cs="Times New Roman"/>
          <w:sz w:val="28"/>
          <w:szCs w:val="28"/>
        </w:rPr>
        <w:t xml:space="preserve"> № 11.</w:t>
      </w:r>
      <w:r w:rsidR="005D73B6">
        <w:rPr>
          <w:rFonts w:ascii="Times New Roman" w:hAnsi="Times New Roman" w:cs="Times New Roman"/>
          <w:sz w:val="28"/>
          <w:szCs w:val="28"/>
        </w:rPr>
        <w:t xml:space="preserve">- </w:t>
      </w:r>
      <w:r w:rsidRPr="00352C88">
        <w:rPr>
          <w:rFonts w:ascii="Times New Roman" w:hAnsi="Times New Roman" w:cs="Times New Roman"/>
          <w:sz w:val="28"/>
          <w:szCs w:val="28"/>
        </w:rPr>
        <w:t xml:space="preserve"> С. 91-111.</w:t>
      </w:r>
    </w:p>
    <w:sectPr w:rsidR="00D117D1" w:rsidRPr="00352C88" w:rsidSect="00EF27BB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19" w:rsidRDefault="00604919" w:rsidP="00CF485C">
      <w:pPr>
        <w:spacing w:line="240" w:lineRule="auto"/>
      </w:pPr>
      <w:r>
        <w:separator/>
      </w:r>
    </w:p>
  </w:endnote>
  <w:endnote w:type="continuationSeparator" w:id="0">
    <w:p w:rsidR="00604919" w:rsidRDefault="00604919" w:rsidP="00CF4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BB" w:rsidRDefault="00EF27BB">
    <w:pPr>
      <w:pStyle w:val="ab"/>
      <w:jc w:val="right"/>
    </w:pPr>
  </w:p>
  <w:p w:rsidR="00EF27BB" w:rsidRDefault="00EF27B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19" w:rsidRDefault="00604919" w:rsidP="00CF485C">
      <w:pPr>
        <w:spacing w:line="240" w:lineRule="auto"/>
      </w:pPr>
      <w:r>
        <w:separator/>
      </w:r>
    </w:p>
  </w:footnote>
  <w:footnote w:type="continuationSeparator" w:id="0">
    <w:p w:rsidR="00604919" w:rsidRDefault="00604919" w:rsidP="00CF48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275C4"/>
    <w:multiLevelType w:val="hybridMultilevel"/>
    <w:tmpl w:val="F07663A4"/>
    <w:lvl w:ilvl="0" w:tplc="C30AC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4AA"/>
    <w:rsid w:val="00081E34"/>
    <w:rsid w:val="000A2C89"/>
    <w:rsid w:val="001B1E61"/>
    <w:rsid w:val="001D21FC"/>
    <w:rsid w:val="0024190E"/>
    <w:rsid w:val="00300F94"/>
    <w:rsid w:val="003422C9"/>
    <w:rsid w:val="003470AB"/>
    <w:rsid w:val="00352C88"/>
    <w:rsid w:val="00396A96"/>
    <w:rsid w:val="003C215D"/>
    <w:rsid w:val="00423F01"/>
    <w:rsid w:val="00440C14"/>
    <w:rsid w:val="004E3CD4"/>
    <w:rsid w:val="005D73B6"/>
    <w:rsid w:val="00604919"/>
    <w:rsid w:val="00625EE6"/>
    <w:rsid w:val="006E7A60"/>
    <w:rsid w:val="0071100E"/>
    <w:rsid w:val="007357CA"/>
    <w:rsid w:val="00765286"/>
    <w:rsid w:val="0079072F"/>
    <w:rsid w:val="00844075"/>
    <w:rsid w:val="008500D2"/>
    <w:rsid w:val="00957AB6"/>
    <w:rsid w:val="00964CE2"/>
    <w:rsid w:val="00A31DB4"/>
    <w:rsid w:val="00A35DFC"/>
    <w:rsid w:val="00A8794B"/>
    <w:rsid w:val="00AE22E9"/>
    <w:rsid w:val="00B337B3"/>
    <w:rsid w:val="00B560A2"/>
    <w:rsid w:val="00BC44AA"/>
    <w:rsid w:val="00BE64D3"/>
    <w:rsid w:val="00C00764"/>
    <w:rsid w:val="00C329A2"/>
    <w:rsid w:val="00C44E28"/>
    <w:rsid w:val="00C9059F"/>
    <w:rsid w:val="00CF485C"/>
    <w:rsid w:val="00CF656C"/>
    <w:rsid w:val="00D117D1"/>
    <w:rsid w:val="00D271CC"/>
    <w:rsid w:val="00D77D39"/>
    <w:rsid w:val="00EF27BB"/>
    <w:rsid w:val="00EF3CF3"/>
    <w:rsid w:val="00F24D23"/>
    <w:rsid w:val="00F31A10"/>
    <w:rsid w:val="00F5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B3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CF485C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CF485C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485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2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29A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F27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27BB"/>
  </w:style>
  <w:style w:type="paragraph" w:styleId="ab">
    <w:name w:val="footer"/>
    <w:basedOn w:val="a"/>
    <w:link w:val="ac"/>
    <w:uiPriority w:val="99"/>
    <w:unhideWhenUsed/>
    <w:rsid w:val="00EF27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27BB"/>
  </w:style>
  <w:style w:type="character" w:styleId="ad">
    <w:name w:val="Hyperlink"/>
    <w:basedOn w:val="a0"/>
    <w:uiPriority w:val="99"/>
    <w:unhideWhenUsed/>
    <w:rsid w:val="00352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B3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CF485C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CF485C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485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2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29A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F27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27BB"/>
  </w:style>
  <w:style w:type="paragraph" w:styleId="ab">
    <w:name w:val="footer"/>
    <w:basedOn w:val="a"/>
    <w:link w:val="ac"/>
    <w:uiPriority w:val="99"/>
    <w:unhideWhenUsed/>
    <w:rsid w:val="00EF27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27BB"/>
  </w:style>
  <w:style w:type="character" w:styleId="ad">
    <w:name w:val="Hyperlink"/>
    <w:basedOn w:val="a0"/>
    <w:uiPriority w:val="99"/>
    <w:unhideWhenUsed/>
    <w:rsid w:val="00352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zakon.ru/magazine/article?id=65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47AC-A7BC-4C20-8E9E-4F993257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Marinochka</cp:lastModifiedBy>
  <cp:revision>7</cp:revision>
  <cp:lastPrinted>2017-04-23T01:30:00Z</cp:lastPrinted>
  <dcterms:created xsi:type="dcterms:W3CDTF">2017-05-17T09:39:00Z</dcterms:created>
  <dcterms:modified xsi:type="dcterms:W3CDTF">2017-10-11T10:37:00Z</dcterms:modified>
</cp:coreProperties>
</file>