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54" w:rsidRPr="0044172D" w:rsidRDefault="00175554" w:rsidP="0044172D">
      <w:pPr>
        <w:spacing w:after="0" w:line="240" w:lineRule="auto"/>
        <w:jc w:val="right"/>
        <w:rPr>
          <w:rFonts w:cs="Times New Roman"/>
          <w:b/>
        </w:rPr>
      </w:pPr>
      <w:proofErr w:type="spellStart"/>
      <w:r w:rsidRPr="0044172D">
        <w:rPr>
          <w:rFonts w:cs="Times New Roman"/>
          <w:b/>
        </w:rPr>
        <w:t>Полыновский</w:t>
      </w:r>
      <w:proofErr w:type="spellEnd"/>
      <w:r w:rsidRPr="0044172D">
        <w:rPr>
          <w:rFonts w:cs="Times New Roman"/>
          <w:b/>
        </w:rPr>
        <w:t xml:space="preserve"> </w:t>
      </w:r>
      <w:r w:rsidR="0044172D" w:rsidRPr="0044172D">
        <w:rPr>
          <w:rFonts w:cs="Times New Roman"/>
          <w:b/>
        </w:rPr>
        <w:t xml:space="preserve"> Данил Сергеевич,</w:t>
      </w:r>
    </w:p>
    <w:p w:rsidR="0044172D" w:rsidRPr="0044172D" w:rsidRDefault="0044172D" w:rsidP="0044172D">
      <w:pPr>
        <w:spacing w:after="0" w:line="240" w:lineRule="auto"/>
        <w:jc w:val="right"/>
        <w:rPr>
          <w:rFonts w:cs="Times New Roman"/>
          <w:b/>
        </w:rPr>
      </w:pPr>
      <w:r w:rsidRPr="0044172D">
        <w:rPr>
          <w:rFonts w:cs="Times New Roman"/>
          <w:b/>
        </w:rPr>
        <w:t>студент 3 курса направления подготовки «Юриспруденция»</w:t>
      </w:r>
    </w:p>
    <w:p w:rsidR="0044172D" w:rsidRDefault="0044172D" w:rsidP="0044172D">
      <w:pPr>
        <w:spacing w:after="0" w:line="360" w:lineRule="auto"/>
        <w:jc w:val="right"/>
        <w:rPr>
          <w:rFonts w:cs="Times New Roman"/>
          <w:b/>
          <w:i/>
        </w:rPr>
      </w:pPr>
    </w:p>
    <w:p w:rsidR="0044172D" w:rsidRDefault="0044172D" w:rsidP="0044172D">
      <w:pPr>
        <w:spacing w:after="0" w:line="240" w:lineRule="auto"/>
        <w:jc w:val="right"/>
        <w:rPr>
          <w:rFonts w:cs="Times New Roman"/>
          <w:b/>
        </w:rPr>
      </w:pPr>
      <w:r>
        <w:rPr>
          <w:rFonts w:cs="Times New Roman"/>
          <w:b/>
        </w:rPr>
        <w:t>Научный руководитель:</w:t>
      </w:r>
    </w:p>
    <w:p w:rsidR="0044172D" w:rsidRDefault="0044172D" w:rsidP="0044172D">
      <w:pPr>
        <w:spacing w:after="0" w:line="240" w:lineRule="auto"/>
        <w:jc w:val="right"/>
        <w:rPr>
          <w:rFonts w:cs="Times New Roman"/>
          <w:b/>
        </w:rPr>
      </w:pPr>
      <w:r>
        <w:rPr>
          <w:rFonts w:cs="Times New Roman"/>
          <w:b/>
        </w:rPr>
        <w:t>Сазанова Ирина Владимировна,</w:t>
      </w:r>
    </w:p>
    <w:p w:rsidR="0044172D" w:rsidRPr="0044172D" w:rsidRDefault="0044172D" w:rsidP="0044172D">
      <w:pPr>
        <w:spacing w:after="0" w:line="240" w:lineRule="auto"/>
        <w:jc w:val="right"/>
        <w:rPr>
          <w:rFonts w:cs="Times New Roman"/>
          <w:b/>
        </w:rPr>
      </w:pPr>
      <w:r>
        <w:rPr>
          <w:rFonts w:cs="Times New Roman"/>
          <w:b/>
        </w:rPr>
        <w:t>кандидат юридических</w:t>
      </w:r>
      <w:r>
        <w:rPr>
          <w:rFonts w:cs="Times New Roman"/>
          <w:b/>
          <w:i/>
        </w:rPr>
        <w:t xml:space="preserve"> </w:t>
      </w:r>
      <w:r>
        <w:rPr>
          <w:rFonts w:cs="Times New Roman"/>
          <w:b/>
        </w:rPr>
        <w:t xml:space="preserve"> наук, </w:t>
      </w:r>
      <w:proofErr w:type="spellStart"/>
      <w:r>
        <w:rPr>
          <w:rFonts w:cs="Times New Roman"/>
          <w:b/>
        </w:rPr>
        <w:t>зав</w:t>
      </w:r>
      <w:proofErr w:type="gramStart"/>
      <w:r>
        <w:rPr>
          <w:rFonts w:cs="Times New Roman"/>
          <w:b/>
        </w:rPr>
        <w:t>.к</w:t>
      </w:r>
      <w:proofErr w:type="gramEnd"/>
      <w:r>
        <w:rPr>
          <w:rFonts w:cs="Times New Roman"/>
          <w:b/>
        </w:rPr>
        <w:t>афедрой</w:t>
      </w:r>
      <w:proofErr w:type="spellEnd"/>
    </w:p>
    <w:p w:rsidR="00175554" w:rsidRDefault="00175554" w:rsidP="00B726BD">
      <w:pPr>
        <w:spacing w:after="0" w:line="360" w:lineRule="auto"/>
        <w:jc w:val="center"/>
        <w:rPr>
          <w:rFonts w:cs="Times New Roman"/>
          <w:b/>
        </w:rPr>
      </w:pPr>
    </w:p>
    <w:p w:rsidR="00175554" w:rsidRDefault="00175554" w:rsidP="00B726BD">
      <w:pPr>
        <w:spacing w:after="0" w:line="360" w:lineRule="auto"/>
        <w:jc w:val="center"/>
        <w:rPr>
          <w:rFonts w:cs="Times New Roman"/>
          <w:b/>
        </w:rPr>
      </w:pPr>
      <w:r>
        <w:rPr>
          <w:rFonts w:cs="Times New Roman"/>
          <w:b/>
        </w:rPr>
        <w:t>Обусловленность односторонних сделок</w:t>
      </w:r>
    </w:p>
    <w:p w:rsidR="0044172D" w:rsidRDefault="0044172D" w:rsidP="00B726BD">
      <w:pPr>
        <w:spacing w:after="0" w:line="360" w:lineRule="auto"/>
        <w:jc w:val="center"/>
        <w:rPr>
          <w:rFonts w:cs="Times New Roman"/>
          <w:b/>
        </w:rPr>
      </w:pPr>
    </w:p>
    <w:p w:rsidR="00B726BD" w:rsidRPr="00175554" w:rsidRDefault="00175554" w:rsidP="00B726BD">
      <w:pPr>
        <w:spacing w:after="0" w:line="360" w:lineRule="auto"/>
        <w:jc w:val="both"/>
        <w:rPr>
          <w:rFonts w:cs="Times New Roman"/>
        </w:rPr>
      </w:pPr>
      <w:r>
        <w:rPr>
          <w:rFonts w:cs="Times New Roman"/>
          <w:b/>
        </w:rPr>
        <w:tab/>
      </w:r>
      <w:r w:rsidRPr="00175554">
        <w:rPr>
          <w:rFonts w:cs="Times New Roman"/>
        </w:rPr>
        <w:t xml:space="preserve">В статье </w:t>
      </w:r>
      <w:r>
        <w:rPr>
          <w:rFonts w:cs="Times New Roman"/>
        </w:rPr>
        <w:t>автором ставится вопрос о возможности постановки под условие односторонней сделки (зачет, односторонний отказ от договора, одностороннее расторжение договора и т.п.) В частности, рассматриваются правовые неопределенности, возникающие в подобных ситуациях, и пути их решения.</w:t>
      </w:r>
    </w:p>
    <w:p w:rsidR="00175554" w:rsidRDefault="00175554" w:rsidP="00B726BD">
      <w:pPr>
        <w:spacing w:after="0" w:line="360" w:lineRule="auto"/>
        <w:jc w:val="both"/>
      </w:pPr>
      <w:r>
        <w:tab/>
      </w:r>
      <w:r w:rsidRPr="0044172D">
        <w:rPr>
          <w:b/>
        </w:rPr>
        <w:t>Ключевые слова:</w:t>
      </w:r>
      <w:r>
        <w:t xml:space="preserve"> </w:t>
      </w:r>
      <w:proofErr w:type="gramStart"/>
      <w:r>
        <w:t>Гражданский кодекс РФ, односторонняя сделка, условная сделка, условие, оферта, акцепт, зачет, доверенность, отказ от договора, расторжение договора, прощение долга.</w:t>
      </w:r>
      <w:proofErr w:type="gramEnd"/>
    </w:p>
    <w:p w:rsidR="00175554" w:rsidRDefault="00175554" w:rsidP="00B726BD">
      <w:pPr>
        <w:spacing w:after="0" w:line="360" w:lineRule="auto"/>
        <w:jc w:val="both"/>
      </w:pPr>
    </w:p>
    <w:p w:rsidR="00175554" w:rsidRPr="00175554" w:rsidRDefault="00175554" w:rsidP="00B726BD">
      <w:pPr>
        <w:spacing w:after="0" w:line="360" w:lineRule="auto"/>
        <w:jc w:val="center"/>
        <w:rPr>
          <w:rFonts w:cs="Times New Roman"/>
          <w:b/>
          <w:i/>
          <w:szCs w:val="28"/>
          <w:lang w:val="en-US"/>
        </w:rPr>
      </w:pPr>
      <w:proofErr w:type="spellStart"/>
      <w:r w:rsidRPr="00175554">
        <w:rPr>
          <w:rFonts w:cs="Times New Roman"/>
          <w:b/>
          <w:i/>
          <w:szCs w:val="28"/>
          <w:lang w:val="en-US"/>
        </w:rPr>
        <w:t>Polynovsky</w:t>
      </w:r>
      <w:proofErr w:type="spellEnd"/>
      <w:r w:rsidRPr="00175554">
        <w:rPr>
          <w:rFonts w:cs="Times New Roman"/>
          <w:b/>
          <w:i/>
          <w:szCs w:val="28"/>
          <w:lang w:val="en-US"/>
        </w:rPr>
        <w:t xml:space="preserve"> D.S.</w:t>
      </w:r>
    </w:p>
    <w:p w:rsidR="00175554" w:rsidRPr="00175554" w:rsidRDefault="00175554" w:rsidP="00B726BD">
      <w:pPr>
        <w:spacing w:after="0" w:line="360" w:lineRule="auto"/>
        <w:jc w:val="center"/>
        <w:rPr>
          <w:rFonts w:cs="Times New Roman"/>
          <w:b/>
          <w:i/>
          <w:szCs w:val="28"/>
          <w:lang w:val="en-US"/>
        </w:rPr>
      </w:pPr>
      <w:proofErr w:type="gramStart"/>
      <w:r w:rsidRPr="00175554">
        <w:rPr>
          <w:rFonts w:cs="Times New Roman"/>
          <w:b/>
          <w:i/>
          <w:szCs w:val="28"/>
          <w:lang w:val="en-US"/>
        </w:rPr>
        <w:t xml:space="preserve">The research supervisor – </w:t>
      </w:r>
      <w:proofErr w:type="spellStart"/>
      <w:r w:rsidRPr="00175554">
        <w:rPr>
          <w:rFonts w:cs="Times New Roman"/>
          <w:b/>
          <w:i/>
          <w:szCs w:val="28"/>
          <w:lang w:val="en-US"/>
        </w:rPr>
        <w:t>Sazanova</w:t>
      </w:r>
      <w:proofErr w:type="spellEnd"/>
      <w:r w:rsidRPr="00175554">
        <w:rPr>
          <w:rFonts w:cs="Times New Roman"/>
          <w:b/>
          <w:i/>
          <w:szCs w:val="28"/>
          <w:lang w:val="en-US"/>
        </w:rPr>
        <w:t xml:space="preserve"> I.V.</w:t>
      </w:r>
      <w:proofErr w:type="gramEnd"/>
    </w:p>
    <w:p w:rsidR="00175554" w:rsidRPr="00175554" w:rsidRDefault="00175554" w:rsidP="00B726BD">
      <w:pPr>
        <w:spacing w:after="0" w:line="360" w:lineRule="auto"/>
        <w:jc w:val="center"/>
        <w:rPr>
          <w:rFonts w:cs="Times New Roman"/>
          <w:szCs w:val="28"/>
          <w:lang w:val="en-US"/>
        </w:rPr>
      </w:pPr>
    </w:p>
    <w:p w:rsidR="00175554" w:rsidRPr="009326B2" w:rsidRDefault="00175554" w:rsidP="00B726BD">
      <w:pPr>
        <w:spacing w:after="0" w:line="360" w:lineRule="auto"/>
        <w:jc w:val="center"/>
        <w:rPr>
          <w:rFonts w:cs="Times New Roman"/>
          <w:b/>
          <w:szCs w:val="28"/>
          <w:lang w:val="en-US"/>
        </w:rPr>
      </w:pPr>
      <w:r w:rsidRPr="00B726BD">
        <w:rPr>
          <w:rFonts w:cs="Times New Roman"/>
          <w:b/>
          <w:szCs w:val="28"/>
          <w:lang w:val="en-US"/>
        </w:rPr>
        <w:t>Conditionality of unilateral transactions</w:t>
      </w:r>
    </w:p>
    <w:p w:rsidR="00717F3E" w:rsidRPr="009326B2" w:rsidRDefault="00717F3E" w:rsidP="00B726BD">
      <w:pPr>
        <w:spacing w:after="0" w:line="360" w:lineRule="auto"/>
        <w:jc w:val="center"/>
        <w:rPr>
          <w:rFonts w:cs="Times New Roman"/>
          <w:b/>
          <w:szCs w:val="28"/>
          <w:lang w:val="en-US"/>
        </w:rPr>
      </w:pPr>
    </w:p>
    <w:p w:rsidR="00B726BD" w:rsidRPr="0044172D" w:rsidRDefault="00175554" w:rsidP="0044172D">
      <w:pPr>
        <w:spacing w:after="0" w:line="360" w:lineRule="auto"/>
        <w:ind w:firstLine="708"/>
        <w:jc w:val="both"/>
        <w:rPr>
          <w:rFonts w:cs="Times New Roman"/>
          <w:szCs w:val="28"/>
          <w:lang w:val="en-US"/>
        </w:rPr>
      </w:pPr>
      <w:r w:rsidRPr="00175554">
        <w:rPr>
          <w:rFonts w:cs="Times New Roman"/>
          <w:szCs w:val="28"/>
          <w:lang w:val="en-US"/>
        </w:rPr>
        <w:t>In the article the author poses the question of the possibility of setting up under the condition of a unilateral transaction (offset, unilateral cancellation of the contract, unilateral cancellation of the contract, etc.) In particular, legal uncertainties arising in similar situations and ways of their solution are considered.</w:t>
      </w:r>
    </w:p>
    <w:p w:rsidR="00E64080" w:rsidRPr="0044172D" w:rsidRDefault="00175554" w:rsidP="0044172D">
      <w:pPr>
        <w:spacing w:after="0" w:line="360" w:lineRule="auto"/>
        <w:ind w:firstLine="708"/>
        <w:jc w:val="both"/>
        <w:rPr>
          <w:lang w:val="en-US"/>
        </w:rPr>
      </w:pPr>
      <w:r w:rsidRPr="0044172D">
        <w:rPr>
          <w:rFonts w:cs="Times New Roman"/>
          <w:b/>
          <w:szCs w:val="28"/>
          <w:lang w:val="en-US"/>
        </w:rPr>
        <w:t>Keywords:</w:t>
      </w:r>
      <w:r w:rsidRPr="00175554">
        <w:rPr>
          <w:rFonts w:cs="Times New Roman"/>
          <w:szCs w:val="28"/>
          <w:lang w:val="en-US"/>
        </w:rPr>
        <w:t xml:space="preserve"> Russian Civil Code, unilateral transaction, conditional transaction, condition, offer, acceptance, offset, power of attorney, renunciation of contract, termination of contract, forgiveness of debt.</w:t>
      </w:r>
    </w:p>
    <w:p w:rsidR="0044172D" w:rsidRPr="0044172D" w:rsidRDefault="0044172D" w:rsidP="0044172D">
      <w:pPr>
        <w:spacing w:after="0" w:line="360" w:lineRule="auto"/>
        <w:ind w:firstLine="708"/>
        <w:jc w:val="both"/>
        <w:rPr>
          <w:lang w:val="en-US"/>
        </w:rPr>
      </w:pPr>
    </w:p>
    <w:p w:rsidR="00E64080" w:rsidRDefault="00E64080" w:rsidP="00121063">
      <w:pPr>
        <w:spacing w:after="0" w:line="360" w:lineRule="auto"/>
        <w:ind w:firstLine="708"/>
        <w:jc w:val="both"/>
        <w:rPr>
          <w:rFonts w:cs="Times New Roman"/>
          <w:szCs w:val="28"/>
        </w:rPr>
      </w:pPr>
      <w:r>
        <w:lastRenderedPageBreak/>
        <w:t xml:space="preserve">С развитием гражданского законодательства </w:t>
      </w:r>
      <w:r w:rsidRPr="004E7BDA">
        <w:rPr>
          <w:rFonts w:cs="Times New Roman"/>
          <w:szCs w:val="28"/>
        </w:rPr>
        <w:t>сторонам</w:t>
      </w:r>
      <w:r>
        <w:rPr>
          <w:rFonts w:cs="Times New Roman"/>
          <w:szCs w:val="28"/>
        </w:rPr>
        <w:t xml:space="preserve"> постепенно предоставлялась</w:t>
      </w:r>
      <w:r w:rsidRPr="004E7BDA">
        <w:rPr>
          <w:rFonts w:cs="Times New Roman"/>
          <w:szCs w:val="28"/>
        </w:rPr>
        <w:t xml:space="preserve"> возможност</w:t>
      </w:r>
      <w:r>
        <w:rPr>
          <w:rFonts w:cs="Times New Roman"/>
          <w:szCs w:val="28"/>
        </w:rPr>
        <w:t>ь</w:t>
      </w:r>
      <w:r w:rsidRPr="004E7BDA">
        <w:rPr>
          <w:rFonts w:cs="Times New Roman"/>
          <w:szCs w:val="28"/>
        </w:rPr>
        <w:t xml:space="preserve"> заключать сложные</w:t>
      </w:r>
      <w:r>
        <w:rPr>
          <w:rFonts w:cs="Times New Roman"/>
          <w:szCs w:val="28"/>
        </w:rPr>
        <w:t>, многоэтапные сделки.</w:t>
      </w:r>
      <w:r w:rsidRPr="004E7BDA">
        <w:rPr>
          <w:rFonts w:cs="Times New Roman"/>
          <w:szCs w:val="28"/>
        </w:rPr>
        <w:t xml:space="preserve"> </w:t>
      </w:r>
      <w:r w:rsidR="00121063">
        <w:rPr>
          <w:rFonts w:cs="Times New Roman"/>
          <w:szCs w:val="28"/>
        </w:rPr>
        <w:t>В</w:t>
      </w:r>
      <w:r>
        <w:rPr>
          <w:rFonts w:cs="Times New Roman"/>
          <w:szCs w:val="28"/>
        </w:rPr>
        <w:t xml:space="preserve"> </w:t>
      </w:r>
      <w:r w:rsidRPr="004E7BDA">
        <w:rPr>
          <w:rFonts w:cs="Times New Roman"/>
          <w:szCs w:val="28"/>
        </w:rPr>
        <w:t xml:space="preserve">рамках </w:t>
      </w:r>
      <w:r>
        <w:rPr>
          <w:rFonts w:cs="Times New Roman"/>
          <w:szCs w:val="28"/>
        </w:rPr>
        <w:t>таких сделок</w:t>
      </w:r>
      <w:r w:rsidRPr="004E7BDA">
        <w:rPr>
          <w:rFonts w:cs="Times New Roman"/>
          <w:szCs w:val="28"/>
        </w:rPr>
        <w:t xml:space="preserve"> стороны зачастую принимают на себя целый комплекс взаимосвязанных, в том числе так называемых предварительных, обязательств, исполнение которых часто растянуто во времени и зависит от множества различных обстоятельств</w:t>
      </w:r>
      <w:r w:rsidR="00121063">
        <w:rPr>
          <w:rFonts w:cs="Times New Roman"/>
          <w:szCs w:val="28"/>
        </w:rPr>
        <w:t>.</w:t>
      </w:r>
      <w:r w:rsidRPr="004E7BDA">
        <w:rPr>
          <w:rFonts w:cs="Times New Roman"/>
          <w:szCs w:val="28"/>
        </w:rPr>
        <w:t xml:space="preserve"> </w:t>
      </w:r>
      <w:r w:rsidR="00121063">
        <w:rPr>
          <w:rFonts w:cs="Times New Roman"/>
          <w:szCs w:val="28"/>
        </w:rPr>
        <w:t xml:space="preserve">Такими обстоятельствами могут быть, </w:t>
      </w:r>
      <w:r w:rsidRPr="004E7BDA">
        <w:rPr>
          <w:rFonts w:cs="Times New Roman"/>
          <w:szCs w:val="28"/>
        </w:rPr>
        <w:t>в том числе</w:t>
      </w:r>
      <w:r w:rsidR="00121063">
        <w:rPr>
          <w:rFonts w:cs="Times New Roman"/>
          <w:szCs w:val="28"/>
        </w:rPr>
        <w:t>,</w:t>
      </w:r>
      <w:r w:rsidRPr="004E7BDA">
        <w:rPr>
          <w:rFonts w:cs="Times New Roman"/>
          <w:szCs w:val="28"/>
        </w:rPr>
        <w:t xml:space="preserve"> добросовестно</w:t>
      </w:r>
      <w:r w:rsidR="00121063">
        <w:rPr>
          <w:rFonts w:cs="Times New Roman"/>
          <w:szCs w:val="28"/>
        </w:rPr>
        <w:t>е</w:t>
      </w:r>
      <w:r w:rsidRPr="004E7BDA">
        <w:rPr>
          <w:rFonts w:cs="Times New Roman"/>
          <w:szCs w:val="28"/>
        </w:rPr>
        <w:t xml:space="preserve"> исполнени</w:t>
      </w:r>
      <w:r w:rsidR="00121063">
        <w:rPr>
          <w:rFonts w:cs="Times New Roman"/>
          <w:szCs w:val="28"/>
        </w:rPr>
        <w:t>е</w:t>
      </w:r>
      <w:r w:rsidRPr="004E7BDA">
        <w:rPr>
          <w:rFonts w:cs="Times New Roman"/>
          <w:szCs w:val="28"/>
        </w:rPr>
        <w:t xml:space="preserve"> сторонами своих обязательств, совершени</w:t>
      </w:r>
      <w:r w:rsidR="00121063">
        <w:rPr>
          <w:rFonts w:cs="Times New Roman"/>
          <w:szCs w:val="28"/>
        </w:rPr>
        <w:t>е</w:t>
      </w:r>
      <w:r w:rsidRPr="004E7BDA">
        <w:rPr>
          <w:rFonts w:cs="Times New Roman"/>
          <w:szCs w:val="28"/>
        </w:rPr>
        <w:t xml:space="preserve"> ими определенных действий и/ил</w:t>
      </w:r>
      <w:r w:rsidR="00121063">
        <w:rPr>
          <w:rFonts w:cs="Times New Roman"/>
          <w:szCs w:val="28"/>
        </w:rPr>
        <w:t>и воздержание от таких действий, случайные события.</w:t>
      </w:r>
    </w:p>
    <w:p w:rsidR="00121063" w:rsidRPr="00E64080" w:rsidRDefault="0078637D" w:rsidP="00B726BD">
      <w:pPr>
        <w:spacing w:after="0" w:line="360" w:lineRule="auto"/>
        <w:ind w:firstLine="708"/>
        <w:jc w:val="both"/>
      </w:pPr>
      <w:r>
        <w:rPr>
          <w:rFonts w:cs="Times New Roman"/>
          <w:szCs w:val="28"/>
        </w:rPr>
        <w:t>В настоящее время нормы Гражданского кодекса РФ об условных сделках</w:t>
      </w:r>
      <w:r w:rsidR="00606EA3">
        <w:rPr>
          <w:rFonts w:cs="Times New Roman"/>
          <w:szCs w:val="28"/>
        </w:rPr>
        <w:t xml:space="preserve"> </w:t>
      </w:r>
      <w:r w:rsidR="00121063">
        <w:rPr>
          <w:rFonts w:cs="Times New Roman"/>
          <w:szCs w:val="28"/>
        </w:rPr>
        <w:t>не ограничива</w:t>
      </w:r>
      <w:r>
        <w:rPr>
          <w:rFonts w:cs="Times New Roman"/>
          <w:szCs w:val="28"/>
        </w:rPr>
        <w:t>ют в выборе того</w:t>
      </w:r>
      <w:r w:rsidR="00606EA3">
        <w:rPr>
          <w:rFonts w:cs="Times New Roman"/>
          <w:szCs w:val="28"/>
        </w:rPr>
        <w:t>, что</w:t>
      </w:r>
      <w:r w:rsidR="00121063">
        <w:rPr>
          <w:rFonts w:cs="Times New Roman"/>
          <w:szCs w:val="28"/>
        </w:rPr>
        <w:t xml:space="preserve"> можно поставить под условие. Права и обязанности по сделке, исполнение договорных обязательств, распоряжение имуществом, не требующим регистрации в реестрах – все это можно поставить в зависимость от обстоятельства, относительно которого неизвестно, наступит оно или нет.</w:t>
      </w:r>
    </w:p>
    <w:p w:rsidR="00121063" w:rsidRDefault="00121063" w:rsidP="00B726BD">
      <w:pPr>
        <w:spacing w:after="0" w:line="360" w:lineRule="auto"/>
        <w:ind w:firstLine="708"/>
        <w:jc w:val="both"/>
        <w:rPr>
          <w:rFonts w:cs="Times New Roman"/>
          <w:szCs w:val="28"/>
        </w:rPr>
      </w:pPr>
      <w:r>
        <w:rPr>
          <w:rFonts w:cs="Times New Roman"/>
          <w:szCs w:val="28"/>
        </w:rPr>
        <w:t>В связи с этим возникает другой вопрос, требующий отдельного рассмотрения: в</w:t>
      </w:r>
      <w:r w:rsidR="00B726BD" w:rsidRPr="004E7BDA">
        <w:rPr>
          <w:rFonts w:cs="Times New Roman"/>
          <w:szCs w:val="28"/>
        </w:rPr>
        <w:t>озможно ли поставить под условие одностороннюю сделку (зачет, односторонний отказ от договора и т.</w:t>
      </w:r>
      <w:r>
        <w:rPr>
          <w:rFonts w:cs="Times New Roman"/>
          <w:szCs w:val="28"/>
        </w:rPr>
        <w:t>п</w:t>
      </w:r>
      <w:r w:rsidR="00B726BD" w:rsidRPr="004E7BDA">
        <w:rPr>
          <w:rFonts w:cs="Times New Roman"/>
          <w:szCs w:val="28"/>
        </w:rPr>
        <w:t xml:space="preserve">.)? </w:t>
      </w:r>
      <w:r>
        <w:rPr>
          <w:rFonts w:cs="Times New Roman"/>
          <w:szCs w:val="28"/>
        </w:rPr>
        <w:t>Вопрос довольно плохо изучен в научной литературе, однако присутствуют исследователи, которые затрагивали данный вопрос.</w:t>
      </w:r>
    </w:p>
    <w:p w:rsidR="00B726BD" w:rsidRPr="004E7BDA" w:rsidRDefault="00B726BD" w:rsidP="00606EA3">
      <w:pPr>
        <w:spacing w:after="0" w:line="360" w:lineRule="auto"/>
        <w:ind w:firstLine="709"/>
        <w:jc w:val="both"/>
        <w:rPr>
          <w:rFonts w:cs="Times New Roman"/>
          <w:szCs w:val="28"/>
        </w:rPr>
      </w:pPr>
      <w:r w:rsidRPr="004E7BDA">
        <w:rPr>
          <w:rFonts w:cs="Times New Roman"/>
          <w:szCs w:val="28"/>
        </w:rPr>
        <w:t xml:space="preserve">А.Г. </w:t>
      </w:r>
      <w:proofErr w:type="spellStart"/>
      <w:r w:rsidRPr="004E7BDA">
        <w:rPr>
          <w:rFonts w:cs="Times New Roman"/>
          <w:szCs w:val="28"/>
        </w:rPr>
        <w:t>Карапетов</w:t>
      </w:r>
      <w:proofErr w:type="spellEnd"/>
      <w:r w:rsidRPr="004E7BDA">
        <w:rPr>
          <w:rFonts w:cs="Times New Roman"/>
          <w:szCs w:val="28"/>
        </w:rPr>
        <w:t xml:space="preserve"> рассматривает три основных вариант</w:t>
      </w:r>
      <w:r>
        <w:rPr>
          <w:rFonts w:cs="Times New Roman"/>
          <w:szCs w:val="28"/>
        </w:rPr>
        <w:t>а</w:t>
      </w:r>
      <w:r w:rsidR="0078637D">
        <w:rPr>
          <w:rFonts w:cs="Times New Roman"/>
          <w:szCs w:val="28"/>
        </w:rPr>
        <w:t xml:space="preserve"> обусловленности односторонних сделок</w:t>
      </w:r>
      <w:r w:rsidRPr="00B726BD">
        <w:rPr>
          <w:rFonts w:cs="Times New Roman"/>
          <w:szCs w:val="28"/>
        </w:rPr>
        <w:t xml:space="preserve"> [</w:t>
      </w:r>
      <w:r w:rsidR="00E64080" w:rsidRPr="00E64080">
        <w:rPr>
          <w:rFonts w:cs="Times New Roman"/>
          <w:szCs w:val="28"/>
        </w:rPr>
        <w:t>2</w:t>
      </w:r>
      <w:r w:rsidRPr="00B726BD">
        <w:rPr>
          <w:rFonts w:cs="Times New Roman"/>
          <w:szCs w:val="28"/>
        </w:rPr>
        <w:t>]</w:t>
      </w:r>
      <w:r w:rsidRPr="004E7BDA">
        <w:rPr>
          <w:rFonts w:cs="Times New Roman"/>
          <w:szCs w:val="28"/>
        </w:rPr>
        <w:t>:</w:t>
      </w:r>
    </w:p>
    <w:p w:rsidR="00B726BD" w:rsidRPr="004E7BDA" w:rsidRDefault="00B726BD" w:rsidP="00606EA3">
      <w:pPr>
        <w:pStyle w:val="a3"/>
        <w:numPr>
          <w:ilvl w:val="0"/>
          <w:numId w:val="6"/>
        </w:numPr>
        <w:spacing w:after="0" w:line="360" w:lineRule="auto"/>
        <w:ind w:left="0" w:firstLine="349"/>
        <w:jc w:val="both"/>
        <w:rPr>
          <w:rFonts w:ascii="Times New Roman" w:hAnsi="Times New Roman" w:cs="Times New Roman"/>
          <w:sz w:val="28"/>
          <w:szCs w:val="28"/>
        </w:rPr>
      </w:pPr>
      <w:r w:rsidRPr="004E7BDA">
        <w:rPr>
          <w:rFonts w:ascii="Times New Roman" w:hAnsi="Times New Roman" w:cs="Times New Roman"/>
          <w:sz w:val="28"/>
          <w:szCs w:val="28"/>
        </w:rPr>
        <w:t>Если односторонняя сделка не создает для адресата какие-либо обязанности, а лишь дает те или иные правовые возможности.</w:t>
      </w:r>
    </w:p>
    <w:p w:rsidR="00B726BD" w:rsidRPr="004E7BDA" w:rsidRDefault="00B726BD" w:rsidP="00606EA3">
      <w:pPr>
        <w:pStyle w:val="a3"/>
        <w:numPr>
          <w:ilvl w:val="0"/>
          <w:numId w:val="6"/>
        </w:numPr>
        <w:spacing w:after="0" w:line="360" w:lineRule="auto"/>
        <w:ind w:left="0" w:firstLine="349"/>
        <w:jc w:val="both"/>
        <w:rPr>
          <w:rFonts w:ascii="Times New Roman" w:hAnsi="Times New Roman" w:cs="Times New Roman"/>
          <w:sz w:val="28"/>
          <w:szCs w:val="28"/>
        </w:rPr>
      </w:pPr>
      <w:r w:rsidRPr="004E7BDA">
        <w:rPr>
          <w:rFonts w:ascii="Times New Roman" w:hAnsi="Times New Roman" w:cs="Times New Roman"/>
          <w:sz w:val="28"/>
          <w:szCs w:val="28"/>
        </w:rPr>
        <w:t>Если односторонняя сделка создает для адресата обязанность заключить договор.</w:t>
      </w:r>
    </w:p>
    <w:p w:rsidR="00B726BD" w:rsidRPr="004E7BDA" w:rsidRDefault="00B726BD" w:rsidP="00606EA3">
      <w:pPr>
        <w:pStyle w:val="a3"/>
        <w:numPr>
          <w:ilvl w:val="0"/>
          <w:numId w:val="6"/>
        </w:numPr>
        <w:spacing w:after="0" w:line="360" w:lineRule="auto"/>
        <w:ind w:left="0" w:firstLine="349"/>
        <w:jc w:val="both"/>
        <w:rPr>
          <w:rFonts w:ascii="Times New Roman" w:hAnsi="Times New Roman" w:cs="Times New Roman"/>
          <w:sz w:val="28"/>
          <w:szCs w:val="28"/>
        </w:rPr>
      </w:pPr>
      <w:r w:rsidRPr="004E7BDA">
        <w:rPr>
          <w:rFonts w:ascii="Times New Roman" w:hAnsi="Times New Roman" w:cs="Times New Roman"/>
          <w:sz w:val="28"/>
          <w:szCs w:val="28"/>
        </w:rPr>
        <w:t>Если одностороння сделка напрямую создает обязанности для адресата.</w:t>
      </w:r>
    </w:p>
    <w:p w:rsidR="00B726BD" w:rsidRPr="004E7BDA" w:rsidRDefault="00B726BD" w:rsidP="00606EA3">
      <w:pPr>
        <w:spacing w:after="0" w:line="360" w:lineRule="auto"/>
        <w:ind w:firstLine="709"/>
        <w:jc w:val="both"/>
        <w:rPr>
          <w:rFonts w:cs="Times New Roman"/>
          <w:szCs w:val="28"/>
        </w:rPr>
      </w:pPr>
      <w:r w:rsidRPr="004E7BDA">
        <w:rPr>
          <w:rFonts w:cs="Times New Roman"/>
          <w:szCs w:val="28"/>
        </w:rPr>
        <w:t>Каждый из вариантов описывает ту степень правовой неопределенности, в которой находится адресат после совершения односторонней сделки по отношению к нему.</w:t>
      </w:r>
    </w:p>
    <w:p w:rsidR="00B726BD" w:rsidRPr="004E7BDA" w:rsidRDefault="00B726BD" w:rsidP="00606EA3">
      <w:pPr>
        <w:spacing w:after="0" w:line="360" w:lineRule="auto"/>
        <w:ind w:firstLine="709"/>
        <w:jc w:val="both"/>
        <w:rPr>
          <w:rFonts w:cs="Times New Roman"/>
          <w:szCs w:val="28"/>
        </w:rPr>
      </w:pPr>
      <w:r w:rsidRPr="004E7BDA">
        <w:rPr>
          <w:rFonts w:cs="Times New Roman"/>
          <w:szCs w:val="28"/>
        </w:rPr>
        <w:lastRenderedPageBreak/>
        <w:t xml:space="preserve">В первом случае все предельно ясно для адресата. К примеру, лицу предложили заключить договор (сделали оферту). Однако в оферте указали какое-нибудь условие, при наступлении которого оферта отзывается. Естественно, если лицо не уверено, наступило условие или нет, оно может просто не акцептовать (воздержаться от акцепта). То же самое можно сказать, если субъект дает согласие на совершение сделки или доверенности. Если нельзя проверить условие – всегда есть возможность отказаться. </w:t>
      </w:r>
    </w:p>
    <w:p w:rsidR="00B726BD" w:rsidRPr="004E7BDA" w:rsidRDefault="00B726BD" w:rsidP="00B726BD">
      <w:pPr>
        <w:spacing w:after="0" w:line="360" w:lineRule="auto"/>
        <w:ind w:firstLine="708"/>
        <w:jc w:val="both"/>
        <w:rPr>
          <w:rFonts w:cs="Times New Roman"/>
          <w:szCs w:val="28"/>
        </w:rPr>
      </w:pPr>
      <w:r w:rsidRPr="004E7BDA">
        <w:rPr>
          <w:rFonts w:cs="Times New Roman"/>
          <w:szCs w:val="28"/>
        </w:rPr>
        <w:t>Во втором случае все становится куда сложнее. Создается правовая неопределенность для лица, которое не уверено в наступлении условия. Например, ситуация с доверенностью: по ранее оформленному публичному соглашению контрагент обязан заключить договор. В публичном договоре указано условие, при котором доверенность представителя другой стороны договора будет недействительной. В итоге, получается ситуация, при которой контрагент достоверно не знает, есть ли у другой стороны договора полномочия на заключение договора или нет. А заключить обязан.</w:t>
      </w:r>
    </w:p>
    <w:p w:rsidR="00B726BD" w:rsidRPr="004E7BDA" w:rsidRDefault="00B726BD" w:rsidP="00B726BD">
      <w:pPr>
        <w:spacing w:after="0" w:line="360" w:lineRule="auto"/>
        <w:ind w:firstLine="708"/>
        <w:jc w:val="both"/>
        <w:rPr>
          <w:rFonts w:cs="Times New Roman"/>
          <w:szCs w:val="28"/>
        </w:rPr>
      </w:pPr>
      <w:r w:rsidRPr="004E7BDA">
        <w:rPr>
          <w:rFonts w:cs="Times New Roman"/>
          <w:szCs w:val="28"/>
        </w:rPr>
        <w:t xml:space="preserve">Третья ситуация также навязывает адресату правовую неопределенность, поскольку неспособность однозначно проверить наступление условий делает свое дело. А.Г. </w:t>
      </w:r>
      <w:proofErr w:type="spellStart"/>
      <w:r w:rsidRPr="004E7BDA">
        <w:rPr>
          <w:rFonts w:cs="Times New Roman"/>
          <w:szCs w:val="28"/>
        </w:rPr>
        <w:t>Карапетов</w:t>
      </w:r>
      <w:proofErr w:type="spellEnd"/>
      <w:r w:rsidRPr="004E7BDA">
        <w:rPr>
          <w:rFonts w:cs="Times New Roman"/>
          <w:szCs w:val="28"/>
        </w:rPr>
        <w:t xml:space="preserve"> указывает, что такие ситуации могут иметь место, например, в случае с зачетом, односторонним отказом от договора, односторонним изменением договора и т.п.</w:t>
      </w:r>
    </w:p>
    <w:p w:rsidR="00B726BD" w:rsidRPr="004E7BDA" w:rsidRDefault="00B726BD" w:rsidP="00B726BD">
      <w:pPr>
        <w:spacing w:after="0" w:line="360" w:lineRule="auto"/>
        <w:ind w:firstLine="708"/>
        <w:jc w:val="both"/>
        <w:rPr>
          <w:rFonts w:cs="Times New Roman"/>
          <w:szCs w:val="28"/>
        </w:rPr>
      </w:pPr>
      <w:r w:rsidRPr="004E7BDA">
        <w:rPr>
          <w:rFonts w:cs="Times New Roman"/>
          <w:szCs w:val="28"/>
        </w:rPr>
        <w:t xml:space="preserve">Несмотря на три вышеуказанные ситуации, проблема достаточно легко решаема, если условие, под которое ставится односторонняя сделка, легко проверяемо для участников оборота. Индексы торговых рынков, спортивные состязания, выборы президента – примеры того, что можно поставить в качестве легко проверяемого условия. </w:t>
      </w:r>
    </w:p>
    <w:p w:rsidR="00B726BD" w:rsidRPr="004E7BDA" w:rsidRDefault="00B726BD" w:rsidP="00B726BD">
      <w:pPr>
        <w:spacing w:after="0" w:line="360" w:lineRule="auto"/>
        <w:ind w:firstLine="708"/>
        <w:jc w:val="both"/>
        <w:rPr>
          <w:rFonts w:cs="Times New Roman"/>
          <w:szCs w:val="28"/>
        </w:rPr>
      </w:pPr>
      <w:r w:rsidRPr="004E7BDA">
        <w:rPr>
          <w:rFonts w:cs="Times New Roman"/>
          <w:szCs w:val="28"/>
        </w:rPr>
        <w:t>Однако, как справедливо заметил А.В.</w:t>
      </w:r>
      <w:r w:rsidR="00606EA3" w:rsidRPr="00606EA3">
        <w:rPr>
          <w:rFonts w:cs="Times New Roman"/>
          <w:szCs w:val="28"/>
        </w:rPr>
        <w:t xml:space="preserve"> </w:t>
      </w:r>
      <w:r w:rsidR="00606EA3" w:rsidRPr="004E7BDA">
        <w:rPr>
          <w:rFonts w:cs="Times New Roman"/>
          <w:szCs w:val="28"/>
        </w:rPr>
        <w:t>Егоров</w:t>
      </w:r>
      <w:r w:rsidRPr="004E7BDA">
        <w:rPr>
          <w:rFonts w:cs="Times New Roman"/>
          <w:szCs w:val="28"/>
        </w:rPr>
        <w:t>, понятие «легко или трудно проверяемого» условия является ситуативным. Не каждый участник гражданского оборота может обладать возможностью проверить наступление того или иного условия: отсутствует Интернет, находится на лечении, улетел за границу и т.д.</w:t>
      </w:r>
    </w:p>
    <w:p w:rsidR="00B726BD" w:rsidRPr="004E7BDA" w:rsidRDefault="00B726BD" w:rsidP="00B726BD">
      <w:pPr>
        <w:spacing w:after="0" w:line="360" w:lineRule="auto"/>
        <w:ind w:firstLine="708"/>
        <w:jc w:val="both"/>
        <w:rPr>
          <w:rFonts w:cs="Times New Roman"/>
          <w:szCs w:val="28"/>
        </w:rPr>
      </w:pPr>
      <w:r w:rsidRPr="004E7BDA">
        <w:rPr>
          <w:rFonts w:cs="Times New Roman"/>
          <w:szCs w:val="28"/>
        </w:rPr>
        <w:lastRenderedPageBreak/>
        <w:t xml:space="preserve">Вообще, позиция А.В. </w:t>
      </w:r>
      <w:r w:rsidR="00606EA3" w:rsidRPr="004E7BDA">
        <w:rPr>
          <w:rFonts w:cs="Times New Roman"/>
          <w:szCs w:val="28"/>
        </w:rPr>
        <w:t xml:space="preserve">Егорова </w:t>
      </w:r>
      <w:r w:rsidRPr="004E7BDA">
        <w:rPr>
          <w:rFonts w:cs="Times New Roman"/>
          <w:szCs w:val="28"/>
        </w:rPr>
        <w:t>по данному вопросу довольно проста и консервативна: «Стоит запрещать односторонние преобразовательные сделки под условием, потому надо уважать волю другого лица». Обусловленность двусторонней сделки – это уже огромный риск для участников оборота. Обусловленность в односторонней сделке создает полную правовую неопределенность для того, кто приобрел права и обязанности по такой сделке</w:t>
      </w:r>
      <w:r w:rsidR="00E64080">
        <w:rPr>
          <w:rFonts w:cs="Times New Roman"/>
          <w:szCs w:val="28"/>
        </w:rPr>
        <w:t xml:space="preserve"> [</w:t>
      </w:r>
      <w:r w:rsidR="00E64080" w:rsidRPr="00E64080">
        <w:rPr>
          <w:rFonts w:cs="Times New Roman"/>
          <w:szCs w:val="28"/>
        </w:rPr>
        <w:t>1]</w:t>
      </w:r>
      <w:r w:rsidRPr="004E7BDA">
        <w:rPr>
          <w:rFonts w:cs="Times New Roman"/>
          <w:szCs w:val="28"/>
        </w:rPr>
        <w:t xml:space="preserve">. </w:t>
      </w:r>
    </w:p>
    <w:p w:rsidR="00B726BD" w:rsidRPr="004E7BDA" w:rsidRDefault="00B726BD" w:rsidP="00B726BD">
      <w:pPr>
        <w:spacing w:after="0" w:line="360" w:lineRule="auto"/>
        <w:ind w:firstLine="708"/>
        <w:jc w:val="both"/>
        <w:rPr>
          <w:rFonts w:cs="Times New Roman"/>
          <w:szCs w:val="28"/>
        </w:rPr>
      </w:pPr>
      <w:r w:rsidRPr="004E7BDA">
        <w:rPr>
          <w:rFonts w:cs="Times New Roman"/>
          <w:szCs w:val="28"/>
        </w:rPr>
        <w:t>Стоит отметить, что в законодательстве установлены следующие правила, когда одностороннюю сделку нельзя поставить под условие: акцепт (полный и безоговорочный по ст. 438), принятие наследства (ст. 1152), отказ от наследства (ст. 1158) и завещательный отказ (ст. 1160).</w:t>
      </w:r>
    </w:p>
    <w:p w:rsidR="00B726BD" w:rsidRPr="004E7BDA" w:rsidRDefault="005F7802" w:rsidP="00B726BD">
      <w:pPr>
        <w:spacing w:after="0" w:line="360" w:lineRule="auto"/>
        <w:ind w:firstLine="708"/>
        <w:jc w:val="both"/>
        <w:rPr>
          <w:rFonts w:cs="Times New Roman"/>
          <w:szCs w:val="28"/>
        </w:rPr>
      </w:pPr>
      <w:r>
        <w:rPr>
          <w:rFonts w:cs="Times New Roman"/>
          <w:szCs w:val="28"/>
        </w:rPr>
        <w:t xml:space="preserve">Вместе с тем А.Г. </w:t>
      </w:r>
      <w:proofErr w:type="spellStart"/>
      <w:r>
        <w:rPr>
          <w:rFonts w:cs="Times New Roman"/>
          <w:szCs w:val="28"/>
        </w:rPr>
        <w:t>Карапетов</w:t>
      </w:r>
      <w:proofErr w:type="spellEnd"/>
      <w:r>
        <w:rPr>
          <w:rFonts w:cs="Times New Roman"/>
          <w:szCs w:val="28"/>
        </w:rPr>
        <w:t xml:space="preserve"> </w:t>
      </w:r>
      <w:r w:rsidR="00B726BD" w:rsidRPr="004E7BDA">
        <w:rPr>
          <w:rFonts w:cs="Times New Roman"/>
          <w:szCs w:val="28"/>
        </w:rPr>
        <w:t>и А.В. Агеев высказываются о том, что зачет под условием вполне возможен и отсутствуют какие-либо политико-правовые основания для запрета совершения такой односторонней сделки под условием. А.В. Агеев приводит следующий пример зачета под условием из договорной практики: «Если вы не заплатите, то другое наше обязательство будет прекращено зачетом»</w:t>
      </w:r>
      <w:r w:rsidR="00E64080" w:rsidRPr="00E64080">
        <w:rPr>
          <w:rFonts w:cs="Times New Roman"/>
          <w:szCs w:val="28"/>
        </w:rPr>
        <w:t xml:space="preserve"> [1]</w:t>
      </w:r>
      <w:r w:rsidR="00B726BD" w:rsidRPr="004E7BDA">
        <w:rPr>
          <w:rFonts w:cs="Times New Roman"/>
          <w:szCs w:val="28"/>
        </w:rPr>
        <w:t>.</w:t>
      </w:r>
    </w:p>
    <w:p w:rsidR="00B726BD" w:rsidRPr="004E7BDA" w:rsidRDefault="00B726BD" w:rsidP="00B726BD">
      <w:pPr>
        <w:spacing w:after="0" w:line="360" w:lineRule="auto"/>
        <w:ind w:firstLine="708"/>
        <w:jc w:val="both"/>
        <w:rPr>
          <w:rFonts w:cs="Times New Roman"/>
          <w:szCs w:val="28"/>
        </w:rPr>
      </w:pPr>
      <w:r w:rsidRPr="004E7BDA">
        <w:rPr>
          <w:rFonts w:cs="Times New Roman"/>
          <w:szCs w:val="28"/>
        </w:rPr>
        <w:t>Единственное, что можно предположить в данной ситуации: исходя из ст. 410 ГК РФ, зачет может заявить любая сторона. А если поставить зачет под условие, то может начаться хаос. Зачет имеет примерно такую же природу, как и обязательство до востребования. Это право, которым можно воспользоваться, а можно и не воспользоваться. Таким образом, зачет под условием является, по сути, бесполезной конструкцией, поскольку она ни к чему не приводит. Она не совершенствует гражданский оборот.</w:t>
      </w:r>
    </w:p>
    <w:p w:rsidR="00B726BD" w:rsidRPr="004E7BDA" w:rsidRDefault="00B726BD" w:rsidP="00B726BD">
      <w:pPr>
        <w:spacing w:after="0" w:line="360" w:lineRule="auto"/>
        <w:ind w:firstLine="708"/>
        <w:jc w:val="both"/>
        <w:rPr>
          <w:rFonts w:cs="Times New Roman"/>
          <w:szCs w:val="28"/>
        </w:rPr>
      </w:pPr>
      <w:r w:rsidRPr="004E7BDA">
        <w:rPr>
          <w:rFonts w:cs="Times New Roman"/>
          <w:szCs w:val="28"/>
        </w:rPr>
        <w:t>В данном плане можно согласиться с мнением В.В. Байбака, который не видит никакой практической необходимости в конструкции «зачет под условием». Ведь воспользоваться правом на зачет стороны могут в любой момент</w:t>
      </w:r>
      <w:r w:rsidR="005F7802">
        <w:rPr>
          <w:rFonts w:cs="Times New Roman"/>
          <w:szCs w:val="28"/>
        </w:rPr>
        <w:t xml:space="preserve"> </w:t>
      </w:r>
      <w:r w:rsidR="005F7802" w:rsidRPr="005F7802">
        <w:rPr>
          <w:rFonts w:cs="Times New Roman"/>
          <w:szCs w:val="28"/>
        </w:rPr>
        <w:t>[1]</w:t>
      </w:r>
      <w:r w:rsidRPr="004E7BDA">
        <w:rPr>
          <w:rFonts w:cs="Times New Roman"/>
          <w:szCs w:val="28"/>
        </w:rPr>
        <w:t>.</w:t>
      </w:r>
    </w:p>
    <w:p w:rsidR="00B726BD" w:rsidRPr="004E7BDA" w:rsidRDefault="00B726BD" w:rsidP="00B726BD">
      <w:pPr>
        <w:spacing w:after="0" w:line="360" w:lineRule="auto"/>
        <w:ind w:firstLine="708"/>
        <w:jc w:val="both"/>
        <w:rPr>
          <w:rFonts w:cs="Times New Roman"/>
          <w:szCs w:val="28"/>
        </w:rPr>
      </w:pPr>
      <w:r w:rsidRPr="004E7BDA">
        <w:rPr>
          <w:rFonts w:cs="Times New Roman"/>
          <w:szCs w:val="28"/>
        </w:rPr>
        <w:t xml:space="preserve">Другая позиция назревает касательно прощения долга, ведь данная конструкция является, по факту, односторонней сделкой. Очень </w:t>
      </w:r>
      <w:r w:rsidRPr="004E7BDA">
        <w:rPr>
          <w:rFonts w:cs="Times New Roman"/>
          <w:szCs w:val="28"/>
        </w:rPr>
        <w:lastRenderedPageBreak/>
        <w:t>распространенным является пример, когда кредитор обещает простить оставшуюся часть долга при условии оплаты должником, например, 30% от суммы долга. Вместе с тем здесь не возникает проблем с проверкой наступления условия, потому что должник сам влияет на его наступление.</w:t>
      </w:r>
    </w:p>
    <w:p w:rsidR="00B726BD" w:rsidRPr="004E7BDA" w:rsidRDefault="00B726BD" w:rsidP="00B726BD">
      <w:pPr>
        <w:spacing w:after="0" w:line="360" w:lineRule="auto"/>
        <w:ind w:firstLine="708"/>
        <w:jc w:val="both"/>
        <w:rPr>
          <w:rFonts w:cs="Times New Roman"/>
          <w:szCs w:val="28"/>
        </w:rPr>
      </w:pPr>
      <w:r w:rsidRPr="004E7BDA">
        <w:rPr>
          <w:rFonts w:cs="Times New Roman"/>
          <w:szCs w:val="28"/>
        </w:rPr>
        <w:t xml:space="preserve">Таким образом, можно согласиться также и с позицией А.Г. </w:t>
      </w:r>
      <w:proofErr w:type="spellStart"/>
      <w:r w:rsidRPr="004E7BDA">
        <w:rPr>
          <w:rFonts w:cs="Times New Roman"/>
          <w:szCs w:val="28"/>
        </w:rPr>
        <w:t>Карапетова</w:t>
      </w:r>
      <w:proofErr w:type="spellEnd"/>
      <w:r w:rsidRPr="004E7BDA">
        <w:rPr>
          <w:rFonts w:cs="Times New Roman"/>
          <w:szCs w:val="28"/>
        </w:rPr>
        <w:t xml:space="preserve"> о том, что нет причин жестко запрещать такое проявление автономии воли, как односторонние сделки под условием, если: </w:t>
      </w:r>
    </w:p>
    <w:p w:rsidR="00B726BD" w:rsidRPr="004E7BDA" w:rsidRDefault="00B726BD" w:rsidP="00B726BD">
      <w:pPr>
        <w:spacing w:after="0" w:line="360" w:lineRule="auto"/>
        <w:ind w:firstLine="708"/>
        <w:jc w:val="both"/>
        <w:rPr>
          <w:rFonts w:cs="Times New Roman"/>
          <w:szCs w:val="28"/>
        </w:rPr>
      </w:pPr>
      <w:r w:rsidRPr="004E7BDA">
        <w:rPr>
          <w:rFonts w:cs="Times New Roman"/>
          <w:szCs w:val="28"/>
        </w:rPr>
        <w:t>а) условие носит такой характер, что проверка его наступления или ненаступления не вызывает никаких сложностей (например, зачет под условием прекращения процедур банкротства, отказ от договора под условием введения эмбарго);</w:t>
      </w:r>
    </w:p>
    <w:p w:rsidR="00B726BD" w:rsidRPr="004E7BDA" w:rsidRDefault="00B726BD" w:rsidP="00B726BD">
      <w:pPr>
        <w:spacing w:after="0" w:line="360" w:lineRule="auto"/>
        <w:ind w:firstLine="708"/>
        <w:jc w:val="both"/>
        <w:rPr>
          <w:rFonts w:cs="Times New Roman"/>
          <w:szCs w:val="28"/>
        </w:rPr>
      </w:pPr>
      <w:r w:rsidRPr="004E7BDA">
        <w:rPr>
          <w:rFonts w:cs="Times New Roman"/>
          <w:szCs w:val="28"/>
        </w:rPr>
        <w:t>б) наступление условия зависит от самого адресата оферты (например, отказ от договора под условием неисполнения должником обязательства к определенному сроку, прощение части долга под условием погашения другой части долга)</w:t>
      </w:r>
      <w:r w:rsidRPr="00B726BD">
        <w:rPr>
          <w:rFonts w:cs="Times New Roman"/>
          <w:szCs w:val="28"/>
        </w:rPr>
        <w:t xml:space="preserve"> [</w:t>
      </w:r>
      <w:r w:rsidR="00E64080" w:rsidRPr="00E64080">
        <w:rPr>
          <w:rFonts w:cs="Times New Roman"/>
          <w:szCs w:val="28"/>
        </w:rPr>
        <w:t>2</w:t>
      </w:r>
      <w:r w:rsidRPr="00B726BD">
        <w:rPr>
          <w:rFonts w:cs="Times New Roman"/>
          <w:szCs w:val="28"/>
        </w:rPr>
        <w:t>]</w:t>
      </w:r>
      <w:r w:rsidRPr="004E7BDA">
        <w:rPr>
          <w:rFonts w:cs="Times New Roman"/>
          <w:szCs w:val="28"/>
        </w:rPr>
        <w:t>.</w:t>
      </w:r>
    </w:p>
    <w:p w:rsidR="00B726BD" w:rsidRPr="004E7BDA" w:rsidRDefault="000522DD" w:rsidP="00B726BD">
      <w:pPr>
        <w:spacing w:after="0" w:line="360" w:lineRule="auto"/>
        <w:ind w:firstLine="708"/>
        <w:jc w:val="both"/>
        <w:rPr>
          <w:rFonts w:cs="Times New Roman"/>
          <w:szCs w:val="28"/>
        </w:rPr>
      </w:pPr>
      <w:r>
        <w:rPr>
          <w:rFonts w:cs="Times New Roman"/>
          <w:szCs w:val="28"/>
        </w:rPr>
        <w:t xml:space="preserve">Однако лучший вариант предлагает </w:t>
      </w:r>
      <w:r w:rsidR="00606EA3">
        <w:rPr>
          <w:rFonts w:cs="Times New Roman"/>
          <w:szCs w:val="28"/>
        </w:rPr>
        <w:t xml:space="preserve">С.А. </w:t>
      </w:r>
      <w:r w:rsidR="00B726BD" w:rsidRPr="004E7BDA">
        <w:rPr>
          <w:rFonts w:cs="Times New Roman"/>
          <w:szCs w:val="28"/>
        </w:rPr>
        <w:t>Громов</w:t>
      </w:r>
      <w:r>
        <w:rPr>
          <w:rFonts w:cs="Times New Roman"/>
          <w:szCs w:val="28"/>
        </w:rPr>
        <w:t>, который</w:t>
      </w:r>
      <w:r w:rsidR="00B726BD" w:rsidRPr="004E7BDA">
        <w:rPr>
          <w:rFonts w:cs="Times New Roman"/>
          <w:szCs w:val="28"/>
        </w:rPr>
        <w:t xml:space="preserve"> указывает на то, что, по общему правилу, такие сделки необходимо запрещать, за исключением трех вариантов:</w:t>
      </w:r>
    </w:p>
    <w:p w:rsidR="00B726BD" w:rsidRPr="004E7BDA" w:rsidRDefault="00B726BD" w:rsidP="00606EA3">
      <w:pPr>
        <w:pStyle w:val="a3"/>
        <w:numPr>
          <w:ilvl w:val="0"/>
          <w:numId w:val="8"/>
        </w:numPr>
        <w:spacing w:after="0" w:line="360" w:lineRule="auto"/>
        <w:ind w:left="0" w:firstLine="360"/>
        <w:jc w:val="both"/>
        <w:rPr>
          <w:rFonts w:ascii="Times New Roman" w:hAnsi="Times New Roman" w:cs="Times New Roman"/>
          <w:sz w:val="28"/>
          <w:szCs w:val="28"/>
        </w:rPr>
      </w:pPr>
      <w:r w:rsidRPr="004E7BDA">
        <w:rPr>
          <w:rFonts w:ascii="Times New Roman" w:hAnsi="Times New Roman" w:cs="Times New Roman"/>
          <w:sz w:val="28"/>
          <w:szCs w:val="28"/>
        </w:rPr>
        <w:t>Условные завещания;</w:t>
      </w:r>
    </w:p>
    <w:p w:rsidR="00B726BD" w:rsidRPr="004E7BDA" w:rsidRDefault="00B726BD" w:rsidP="00606EA3">
      <w:pPr>
        <w:pStyle w:val="a3"/>
        <w:numPr>
          <w:ilvl w:val="0"/>
          <w:numId w:val="8"/>
        </w:numPr>
        <w:spacing w:after="0" w:line="360" w:lineRule="auto"/>
        <w:ind w:left="0" w:firstLine="360"/>
        <w:jc w:val="both"/>
        <w:rPr>
          <w:rFonts w:ascii="Times New Roman" w:hAnsi="Times New Roman" w:cs="Times New Roman"/>
          <w:sz w:val="28"/>
          <w:szCs w:val="28"/>
        </w:rPr>
      </w:pPr>
      <w:r w:rsidRPr="004E7BDA">
        <w:rPr>
          <w:rFonts w:ascii="Times New Roman" w:hAnsi="Times New Roman" w:cs="Times New Roman"/>
          <w:sz w:val="28"/>
          <w:szCs w:val="28"/>
        </w:rPr>
        <w:t>Если стороны предусмотрели договором такие односторонние сделки;</w:t>
      </w:r>
    </w:p>
    <w:p w:rsidR="00B726BD" w:rsidRPr="004E7BDA" w:rsidRDefault="00B726BD" w:rsidP="00606EA3">
      <w:pPr>
        <w:pStyle w:val="a3"/>
        <w:numPr>
          <w:ilvl w:val="0"/>
          <w:numId w:val="8"/>
        </w:numPr>
        <w:spacing w:after="0" w:line="360" w:lineRule="auto"/>
        <w:ind w:left="0" w:firstLine="360"/>
        <w:jc w:val="both"/>
        <w:rPr>
          <w:rFonts w:ascii="Times New Roman" w:hAnsi="Times New Roman" w:cs="Times New Roman"/>
          <w:sz w:val="28"/>
          <w:szCs w:val="28"/>
        </w:rPr>
      </w:pPr>
      <w:r w:rsidRPr="004E7BDA">
        <w:rPr>
          <w:rFonts w:ascii="Times New Roman" w:hAnsi="Times New Roman" w:cs="Times New Roman"/>
          <w:sz w:val="28"/>
          <w:szCs w:val="28"/>
        </w:rPr>
        <w:t>Если наступление условия зависит прямо от адресата или информация, составляющая условие, является общеизвестно</w:t>
      </w:r>
      <w:r>
        <w:rPr>
          <w:rFonts w:ascii="Times New Roman" w:hAnsi="Times New Roman" w:cs="Times New Roman"/>
          <w:sz w:val="28"/>
          <w:szCs w:val="28"/>
        </w:rPr>
        <w:t>й</w:t>
      </w:r>
      <w:r w:rsidRPr="00B726BD">
        <w:rPr>
          <w:rFonts w:ascii="Times New Roman" w:hAnsi="Times New Roman" w:cs="Times New Roman"/>
          <w:sz w:val="28"/>
          <w:szCs w:val="28"/>
        </w:rPr>
        <w:t xml:space="preserve"> [</w:t>
      </w:r>
      <w:r w:rsidR="00E64080" w:rsidRPr="00E64080">
        <w:rPr>
          <w:rFonts w:ascii="Times New Roman" w:hAnsi="Times New Roman" w:cs="Times New Roman"/>
          <w:sz w:val="28"/>
          <w:szCs w:val="28"/>
        </w:rPr>
        <w:t>3</w:t>
      </w:r>
      <w:r w:rsidRPr="00B726BD">
        <w:rPr>
          <w:rFonts w:ascii="Times New Roman" w:hAnsi="Times New Roman" w:cs="Times New Roman"/>
          <w:sz w:val="28"/>
          <w:szCs w:val="28"/>
        </w:rPr>
        <w:t>]</w:t>
      </w:r>
      <w:r w:rsidRPr="004E7BDA">
        <w:rPr>
          <w:rFonts w:ascii="Times New Roman" w:hAnsi="Times New Roman" w:cs="Times New Roman"/>
          <w:sz w:val="28"/>
          <w:szCs w:val="28"/>
        </w:rPr>
        <w:t>.</w:t>
      </w:r>
    </w:p>
    <w:p w:rsidR="00B726BD" w:rsidRPr="004E7BDA" w:rsidRDefault="00B726BD" w:rsidP="00B726BD">
      <w:pPr>
        <w:spacing w:after="0" w:line="360" w:lineRule="auto"/>
        <w:ind w:firstLine="708"/>
        <w:jc w:val="both"/>
        <w:rPr>
          <w:rFonts w:cs="Times New Roman"/>
          <w:szCs w:val="28"/>
        </w:rPr>
      </w:pPr>
      <w:r w:rsidRPr="004E7BDA">
        <w:rPr>
          <w:rFonts w:cs="Times New Roman"/>
          <w:szCs w:val="28"/>
        </w:rPr>
        <w:t xml:space="preserve">Мнение </w:t>
      </w:r>
      <w:r w:rsidR="00606EA3">
        <w:rPr>
          <w:rFonts w:cs="Times New Roman"/>
          <w:szCs w:val="28"/>
        </w:rPr>
        <w:t xml:space="preserve">С.А. </w:t>
      </w:r>
      <w:r w:rsidRPr="004E7BDA">
        <w:rPr>
          <w:rFonts w:cs="Times New Roman"/>
          <w:szCs w:val="28"/>
        </w:rPr>
        <w:t xml:space="preserve">Громова </w:t>
      </w:r>
      <w:r w:rsidR="005F7802">
        <w:rPr>
          <w:rFonts w:cs="Times New Roman"/>
          <w:szCs w:val="28"/>
        </w:rPr>
        <w:t xml:space="preserve">является наиболее оптимальным </w:t>
      </w:r>
      <w:r w:rsidRPr="004E7BDA">
        <w:rPr>
          <w:rFonts w:cs="Times New Roman"/>
          <w:szCs w:val="28"/>
        </w:rPr>
        <w:t>в решении вопроса</w:t>
      </w:r>
      <w:r w:rsidR="006727DB">
        <w:rPr>
          <w:rFonts w:cs="Times New Roman"/>
          <w:szCs w:val="28"/>
        </w:rPr>
        <w:t xml:space="preserve"> о</w:t>
      </w:r>
      <w:r w:rsidRPr="004E7BDA">
        <w:rPr>
          <w:rFonts w:cs="Times New Roman"/>
          <w:szCs w:val="28"/>
        </w:rPr>
        <w:t xml:space="preserve"> допустимост</w:t>
      </w:r>
      <w:r w:rsidR="006727DB">
        <w:rPr>
          <w:rFonts w:cs="Times New Roman"/>
          <w:szCs w:val="28"/>
        </w:rPr>
        <w:t>и</w:t>
      </w:r>
      <w:r w:rsidRPr="004E7BDA">
        <w:rPr>
          <w:rFonts w:cs="Times New Roman"/>
          <w:szCs w:val="28"/>
        </w:rPr>
        <w:t xml:space="preserve"> односторонних сделок под условием. Данный вариант максимально ограничивает возможность правовой неопределенности для адресата и вместе с тем дает возможность маневрировать участникам гражданского оборота, которые желают осуществлять односторонние сделки под условием.</w:t>
      </w:r>
    </w:p>
    <w:p w:rsidR="00B726BD" w:rsidRDefault="00B726BD">
      <w:pPr>
        <w:spacing w:after="0" w:line="360" w:lineRule="auto"/>
        <w:ind w:firstLine="708"/>
        <w:jc w:val="both"/>
      </w:pPr>
    </w:p>
    <w:p w:rsidR="009326B2" w:rsidRDefault="009326B2" w:rsidP="0044172D">
      <w:pPr>
        <w:spacing w:after="0" w:line="360" w:lineRule="auto"/>
        <w:ind w:firstLine="360"/>
        <w:jc w:val="both"/>
        <w:rPr>
          <w:b/>
        </w:rPr>
      </w:pPr>
    </w:p>
    <w:p w:rsidR="0044172D" w:rsidRPr="0044172D" w:rsidRDefault="0044172D" w:rsidP="0044172D">
      <w:pPr>
        <w:spacing w:after="0" w:line="360" w:lineRule="auto"/>
        <w:ind w:firstLine="360"/>
        <w:jc w:val="both"/>
        <w:rPr>
          <w:b/>
        </w:rPr>
      </w:pPr>
      <w:bookmarkStart w:id="0" w:name="_GoBack"/>
      <w:bookmarkEnd w:id="0"/>
      <w:r>
        <w:rPr>
          <w:b/>
        </w:rPr>
        <w:lastRenderedPageBreak/>
        <w:t>Литература:</w:t>
      </w:r>
    </w:p>
    <w:p w:rsidR="00E64080" w:rsidRPr="00E64080" w:rsidRDefault="00E64080" w:rsidP="00606EA3">
      <w:pPr>
        <w:pStyle w:val="a3"/>
        <w:numPr>
          <w:ilvl w:val="0"/>
          <w:numId w:val="10"/>
        </w:numPr>
        <w:spacing w:after="0" w:line="360" w:lineRule="auto"/>
        <w:ind w:left="0" w:firstLine="360"/>
        <w:jc w:val="both"/>
        <w:rPr>
          <w:sz w:val="28"/>
          <w:szCs w:val="28"/>
        </w:rPr>
      </w:pPr>
      <w:r w:rsidRPr="00E64080">
        <w:rPr>
          <w:rFonts w:ascii="Times New Roman" w:hAnsi="Times New Roman" w:cs="Times New Roman"/>
          <w:sz w:val="28"/>
          <w:szCs w:val="28"/>
        </w:rPr>
        <w:t xml:space="preserve">Научный круглый стол «Проблемные вопросы условных сделок». Организатор – АНО «Юридический институт М-Логос» [Электронный ресурс]. – Режим доступа: </w:t>
      </w:r>
      <w:hyperlink r:id="rId8" w:history="1">
        <w:r w:rsidRPr="00E64080">
          <w:rPr>
            <w:rStyle w:val="a7"/>
            <w:rFonts w:ascii="Times New Roman" w:hAnsi="Times New Roman" w:cs="Times New Roman"/>
            <w:color w:val="auto"/>
            <w:sz w:val="28"/>
            <w:szCs w:val="28"/>
            <w:u w:val="none"/>
          </w:rPr>
          <w:t>https://www.youtube.com/watch?v=ieqhMmzsyQQ</w:t>
        </w:r>
      </w:hyperlink>
      <w:r w:rsidRPr="00E64080">
        <w:rPr>
          <w:rFonts w:ascii="Times New Roman" w:hAnsi="Times New Roman" w:cs="Times New Roman"/>
          <w:sz w:val="28"/>
          <w:szCs w:val="28"/>
        </w:rPr>
        <w:t xml:space="preserve"> (часть 1); </w:t>
      </w:r>
      <w:hyperlink r:id="rId9" w:history="1">
        <w:r w:rsidRPr="00E64080">
          <w:rPr>
            <w:rStyle w:val="a7"/>
            <w:rFonts w:ascii="Times New Roman" w:hAnsi="Times New Roman" w:cs="Times New Roman"/>
            <w:color w:val="auto"/>
            <w:sz w:val="28"/>
            <w:szCs w:val="28"/>
            <w:u w:val="none"/>
          </w:rPr>
          <w:t>https://www.youtube.com/watch?v=v404LebKRKQ&amp;t=907s</w:t>
        </w:r>
      </w:hyperlink>
      <w:r w:rsidRPr="00E64080">
        <w:rPr>
          <w:rFonts w:ascii="Times New Roman" w:hAnsi="Times New Roman" w:cs="Times New Roman"/>
          <w:sz w:val="28"/>
          <w:szCs w:val="28"/>
        </w:rPr>
        <w:t xml:space="preserve"> (часть 2)  (дата обращения: 08.04.2017).</w:t>
      </w:r>
    </w:p>
    <w:p w:rsidR="00B726BD" w:rsidRPr="00B726BD" w:rsidRDefault="00B726BD" w:rsidP="00606EA3">
      <w:pPr>
        <w:pStyle w:val="a3"/>
        <w:numPr>
          <w:ilvl w:val="0"/>
          <w:numId w:val="10"/>
        </w:numPr>
        <w:spacing w:after="0" w:line="360" w:lineRule="auto"/>
        <w:ind w:left="0" w:firstLine="360"/>
        <w:jc w:val="both"/>
        <w:rPr>
          <w:sz w:val="28"/>
          <w:szCs w:val="28"/>
        </w:rPr>
      </w:pPr>
      <w:proofErr w:type="spellStart"/>
      <w:r w:rsidRPr="00B726BD">
        <w:rPr>
          <w:rFonts w:ascii="Times New Roman" w:hAnsi="Times New Roman" w:cs="Times New Roman"/>
          <w:sz w:val="28"/>
          <w:szCs w:val="28"/>
        </w:rPr>
        <w:t>Карапетов</w:t>
      </w:r>
      <w:proofErr w:type="spellEnd"/>
      <w:r w:rsidRPr="00B726BD">
        <w:rPr>
          <w:rFonts w:ascii="Times New Roman" w:hAnsi="Times New Roman" w:cs="Times New Roman"/>
          <w:sz w:val="28"/>
          <w:szCs w:val="28"/>
        </w:rPr>
        <w:t xml:space="preserve"> А.Г. Тезисы к круглом</w:t>
      </w:r>
      <w:r w:rsidR="0044172D">
        <w:rPr>
          <w:rFonts w:ascii="Times New Roman" w:hAnsi="Times New Roman" w:cs="Times New Roman"/>
          <w:sz w:val="28"/>
          <w:szCs w:val="28"/>
        </w:rPr>
        <w:t>у столу юридического института «М-Логос» «</w:t>
      </w:r>
      <w:r w:rsidRPr="00B726BD">
        <w:rPr>
          <w:rFonts w:ascii="Times New Roman" w:hAnsi="Times New Roman" w:cs="Times New Roman"/>
          <w:sz w:val="28"/>
          <w:szCs w:val="28"/>
        </w:rPr>
        <w:t>Про</w:t>
      </w:r>
      <w:r w:rsidR="0044172D">
        <w:rPr>
          <w:rFonts w:ascii="Times New Roman" w:hAnsi="Times New Roman" w:cs="Times New Roman"/>
          <w:sz w:val="28"/>
          <w:szCs w:val="28"/>
        </w:rPr>
        <w:t>блемные вопросы условных сделок»</w:t>
      </w:r>
      <w:r w:rsidRPr="00B726BD">
        <w:rPr>
          <w:rFonts w:ascii="Times New Roman" w:hAnsi="Times New Roman" w:cs="Times New Roman"/>
          <w:sz w:val="28"/>
          <w:szCs w:val="28"/>
        </w:rPr>
        <w:t xml:space="preserve"> [Электронный ресурс]. - Режим доступа http://m-logos.ru/img/tezis_Karapetov_20062016.pdf (дата обращения: 08.04.2017)</w:t>
      </w:r>
    </w:p>
    <w:p w:rsidR="00E64080" w:rsidRPr="00606EA3" w:rsidRDefault="00B726BD" w:rsidP="00E64080">
      <w:pPr>
        <w:pStyle w:val="a3"/>
        <w:numPr>
          <w:ilvl w:val="0"/>
          <w:numId w:val="10"/>
        </w:numPr>
        <w:spacing w:after="0" w:line="360" w:lineRule="auto"/>
        <w:ind w:left="0" w:firstLine="360"/>
        <w:jc w:val="both"/>
        <w:rPr>
          <w:sz w:val="28"/>
          <w:szCs w:val="28"/>
        </w:rPr>
      </w:pPr>
      <w:r w:rsidRPr="00B726BD">
        <w:rPr>
          <w:rFonts w:ascii="Times New Roman" w:hAnsi="Times New Roman" w:cs="Times New Roman"/>
          <w:sz w:val="28"/>
          <w:szCs w:val="28"/>
        </w:rPr>
        <w:t>Громов С.А. Тезисы к круглому стол</w:t>
      </w:r>
      <w:r w:rsidR="0044172D">
        <w:rPr>
          <w:rFonts w:ascii="Times New Roman" w:hAnsi="Times New Roman" w:cs="Times New Roman"/>
          <w:sz w:val="28"/>
          <w:szCs w:val="28"/>
        </w:rPr>
        <w:t>у юридического института «М-Логос» «</w:t>
      </w:r>
      <w:r w:rsidRPr="00B726BD">
        <w:rPr>
          <w:rFonts w:ascii="Times New Roman" w:hAnsi="Times New Roman" w:cs="Times New Roman"/>
          <w:sz w:val="28"/>
          <w:szCs w:val="28"/>
        </w:rPr>
        <w:t>Про</w:t>
      </w:r>
      <w:r w:rsidR="0044172D">
        <w:rPr>
          <w:rFonts w:ascii="Times New Roman" w:hAnsi="Times New Roman" w:cs="Times New Roman"/>
          <w:sz w:val="28"/>
          <w:szCs w:val="28"/>
        </w:rPr>
        <w:t>блемные вопросы условных сделок»</w:t>
      </w:r>
      <w:r w:rsidRPr="00B726BD">
        <w:rPr>
          <w:rFonts w:ascii="Times New Roman" w:hAnsi="Times New Roman" w:cs="Times New Roman"/>
          <w:sz w:val="28"/>
          <w:szCs w:val="28"/>
        </w:rPr>
        <w:t xml:space="preserve"> [Электронный ресурс]. - Режим доступа http://m-logos.ru/img/tezis_Gromov_20062016.pdf (дата обращения: 08.04.2017)</w:t>
      </w:r>
    </w:p>
    <w:sectPr w:rsidR="00E64080" w:rsidRPr="00606EA3" w:rsidSect="0078637D">
      <w:footerReference w:type="default" r:id="rId10"/>
      <w:pgSz w:w="11906" w:h="16838"/>
      <w:pgMar w:top="1134" w:right="850" w:bottom="1134" w:left="1701" w:header="708"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EC8" w:rsidRDefault="00C12EC8" w:rsidP="00B726BD">
      <w:pPr>
        <w:spacing w:after="0" w:line="240" w:lineRule="auto"/>
      </w:pPr>
      <w:r>
        <w:separator/>
      </w:r>
    </w:p>
  </w:endnote>
  <w:endnote w:type="continuationSeparator" w:id="0">
    <w:p w:rsidR="00C12EC8" w:rsidRDefault="00C12EC8" w:rsidP="00B7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7D" w:rsidRDefault="007863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EC8" w:rsidRDefault="00C12EC8" w:rsidP="00B726BD">
      <w:pPr>
        <w:spacing w:after="0" w:line="240" w:lineRule="auto"/>
      </w:pPr>
      <w:r>
        <w:separator/>
      </w:r>
    </w:p>
  </w:footnote>
  <w:footnote w:type="continuationSeparator" w:id="0">
    <w:p w:rsidR="00C12EC8" w:rsidRDefault="00C12EC8" w:rsidP="00B72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F6758"/>
    <w:multiLevelType w:val="hybridMultilevel"/>
    <w:tmpl w:val="D5D60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D15C43"/>
    <w:multiLevelType w:val="hybridMultilevel"/>
    <w:tmpl w:val="97A621F0"/>
    <w:lvl w:ilvl="0" w:tplc="F02449A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14ABD"/>
    <w:multiLevelType w:val="hybridMultilevel"/>
    <w:tmpl w:val="F490CEAE"/>
    <w:lvl w:ilvl="0" w:tplc="F02449AC">
      <w:start w:val="1"/>
      <w:numFmt w:val="decimal"/>
      <w:lvlText w:val="%1."/>
      <w:lvlJc w:val="left"/>
      <w:pPr>
        <w:ind w:left="1428"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580E11"/>
    <w:multiLevelType w:val="hybridMultilevel"/>
    <w:tmpl w:val="8E7C8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A55D4A"/>
    <w:multiLevelType w:val="hybridMultilevel"/>
    <w:tmpl w:val="364E9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F64EF4"/>
    <w:multiLevelType w:val="hybridMultilevel"/>
    <w:tmpl w:val="A89A9BA0"/>
    <w:lvl w:ilvl="0" w:tplc="F02449AC">
      <w:start w:val="1"/>
      <w:numFmt w:val="decimal"/>
      <w:lvlText w:val="%1."/>
      <w:lvlJc w:val="left"/>
      <w:pPr>
        <w:ind w:left="1428" w:hanging="360"/>
      </w:pPr>
      <w:rPr>
        <w:rFonts w:ascii="Times New Roman" w:hAnsi="Times New Roman" w:cs="Times New Roman"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713C556C"/>
    <w:multiLevelType w:val="hybridMultilevel"/>
    <w:tmpl w:val="D38663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2943BA"/>
    <w:multiLevelType w:val="hybridMultilevel"/>
    <w:tmpl w:val="E89653FC"/>
    <w:lvl w:ilvl="0" w:tplc="F02449AC">
      <w:start w:val="1"/>
      <w:numFmt w:val="decimal"/>
      <w:lvlText w:val="%1."/>
      <w:lvlJc w:val="left"/>
      <w:pPr>
        <w:ind w:left="1428"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EC0EB9"/>
    <w:multiLevelType w:val="hybridMultilevel"/>
    <w:tmpl w:val="607AC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625A17"/>
    <w:multiLevelType w:val="hybridMultilevel"/>
    <w:tmpl w:val="03784BF4"/>
    <w:lvl w:ilvl="0" w:tplc="3EDA9E00">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6"/>
  </w:num>
  <w:num w:numId="6">
    <w:abstractNumId w:val="1"/>
  </w:num>
  <w:num w:numId="7">
    <w:abstractNumId w:val="2"/>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5554"/>
    <w:rsid w:val="000522DD"/>
    <w:rsid w:val="00121063"/>
    <w:rsid w:val="00175554"/>
    <w:rsid w:val="001E40E6"/>
    <w:rsid w:val="00316B8E"/>
    <w:rsid w:val="003B43B5"/>
    <w:rsid w:val="0044172D"/>
    <w:rsid w:val="004A7F68"/>
    <w:rsid w:val="00557644"/>
    <w:rsid w:val="005F7802"/>
    <w:rsid w:val="00606EA3"/>
    <w:rsid w:val="006727DB"/>
    <w:rsid w:val="006E23B1"/>
    <w:rsid w:val="00717F3E"/>
    <w:rsid w:val="00730BE6"/>
    <w:rsid w:val="0078637D"/>
    <w:rsid w:val="009326B2"/>
    <w:rsid w:val="00B726BD"/>
    <w:rsid w:val="00C12EC8"/>
    <w:rsid w:val="00E64080"/>
    <w:rsid w:val="00F3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5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6BD"/>
    <w:pPr>
      <w:ind w:left="720"/>
      <w:contextualSpacing/>
    </w:pPr>
    <w:rPr>
      <w:rFonts w:asciiTheme="minorHAnsi" w:hAnsiTheme="minorHAnsi"/>
      <w:sz w:val="22"/>
    </w:rPr>
  </w:style>
  <w:style w:type="paragraph" w:styleId="a4">
    <w:name w:val="footnote text"/>
    <w:basedOn w:val="a"/>
    <w:link w:val="a5"/>
    <w:uiPriority w:val="99"/>
    <w:semiHidden/>
    <w:unhideWhenUsed/>
    <w:rsid w:val="00B726BD"/>
    <w:pPr>
      <w:spacing w:after="0" w:line="240" w:lineRule="auto"/>
    </w:pPr>
    <w:rPr>
      <w:rFonts w:asciiTheme="minorHAnsi" w:hAnsiTheme="minorHAnsi"/>
      <w:sz w:val="20"/>
      <w:szCs w:val="20"/>
    </w:rPr>
  </w:style>
  <w:style w:type="character" w:customStyle="1" w:styleId="a5">
    <w:name w:val="Текст сноски Знак"/>
    <w:basedOn w:val="a0"/>
    <w:link w:val="a4"/>
    <w:uiPriority w:val="99"/>
    <w:semiHidden/>
    <w:rsid w:val="00B726BD"/>
    <w:rPr>
      <w:rFonts w:asciiTheme="minorHAnsi" w:hAnsiTheme="minorHAnsi"/>
      <w:sz w:val="20"/>
      <w:szCs w:val="20"/>
    </w:rPr>
  </w:style>
  <w:style w:type="character" w:styleId="a6">
    <w:name w:val="footnote reference"/>
    <w:basedOn w:val="a0"/>
    <w:uiPriority w:val="99"/>
    <w:semiHidden/>
    <w:unhideWhenUsed/>
    <w:rsid w:val="00B726BD"/>
    <w:rPr>
      <w:vertAlign w:val="superscript"/>
    </w:rPr>
  </w:style>
  <w:style w:type="character" w:styleId="a7">
    <w:name w:val="Hyperlink"/>
    <w:basedOn w:val="a0"/>
    <w:uiPriority w:val="99"/>
    <w:unhideWhenUsed/>
    <w:rsid w:val="00E64080"/>
    <w:rPr>
      <w:color w:val="0000FF"/>
      <w:u w:val="single"/>
    </w:rPr>
  </w:style>
  <w:style w:type="paragraph" w:styleId="a8">
    <w:name w:val="header"/>
    <w:basedOn w:val="a"/>
    <w:link w:val="a9"/>
    <w:uiPriority w:val="99"/>
    <w:semiHidden/>
    <w:unhideWhenUsed/>
    <w:rsid w:val="0078637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8637D"/>
  </w:style>
  <w:style w:type="paragraph" w:styleId="aa">
    <w:name w:val="footer"/>
    <w:basedOn w:val="a"/>
    <w:link w:val="ab"/>
    <w:uiPriority w:val="99"/>
    <w:unhideWhenUsed/>
    <w:rsid w:val="0078637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637D"/>
  </w:style>
  <w:style w:type="paragraph" w:styleId="ac">
    <w:name w:val="Balloon Text"/>
    <w:basedOn w:val="a"/>
    <w:link w:val="ad"/>
    <w:uiPriority w:val="99"/>
    <w:semiHidden/>
    <w:unhideWhenUsed/>
    <w:rsid w:val="00717F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17F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eqhMmzsyQ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v404LebKRKQ&amp;t=907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1411</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dc:creator>
  <cp:lastModifiedBy>Багдасарян Александр Сергеевич</cp:lastModifiedBy>
  <cp:revision>6</cp:revision>
  <cp:lastPrinted>2017-10-05T05:27:00Z</cp:lastPrinted>
  <dcterms:created xsi:type="dcterms:W3CDTF">2017-05-17T09:33:00Z</dcterms:created>
  <dcterms:modified xsi:type="dcterms:W3CDTF">2017-10-05T05:30:00Z</dcterms:modified>
</cp:coreProperties>
</file>