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5D" w:rsidRDefault="0091445D" w:rsidP="0091445D">
      <w:pPr>
        <w:spacing w:line="276" w:lineRule="auto"/>
        <w:ind w:left="3261" w:right="1134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Моисеев В.В. к.т.н., доцент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СахГУ</w:t>
      </w:r>
      <w:proofErr w:type="spellEnd"/>
    </w:p>
    <w:p w:rsidR="0091445D" w:rsidRDefault="0091445D" w:rsidP="0091445D">
      <w:pPr>
        <w:spacing w:line="276" w:lineRule="auto"/>
        <w:ind w:left="3261" w:right="11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Семенов Н.С. зав. кафедрой эксплуатации транспорта к.п.н., доцент </w:t>
      </w:r>
    </w:p>
    <w:p w:rsidR="0091445D" w:rsidRDefault="0091445D" w:rsidP="0091445D">
      <w:pPr>
        <w:ind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ХАРАКТЕРИСТИКА, УСЛОВИЯ РАБОТЫ И ИЗНОСЫ ГИЛЬЗ ЦИЛИНДРОВ ДВИГАТЕЛЯ ЗМЗ-4026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Гильзы цилиндров современных автотракторных двигателей яв</w:t>
      </w:r>
      <w:r>
        <w:rPr>
          <w:rFonts w:ascii="Times New Roman" w:hAnsi="Times New Roman" w:cs="Times New Roman"/>
          <w:sz w:val="28"/>
          <w:szCs w:val="28"/>
        </w:rPr>
        <w:softHyphen/>
        <w:t>ляются тонкостенными полыми цилиндрами с переменным наружным  диаметром и, как правило, переменным сечением стенки по дли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не. Гильзы автотракторных двигателей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изготавляются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 серого низко- или среднелегированного перлитного чугуна, реже применя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ют перлитный чугун с глобулярным графитом или высоколегированного чугуна с карбидной сеткой в перлитной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аустенитной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основе, механические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z w:val="28"/>
          <w:szCs w:val="28"/>
        </w:rPr>
        <w:softHyphen/>
        <w:t>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не должны быть ниже свойств чугуна марки СЧ 21 по ГОСТ 1412-99. Согласно требований государственного стандарта состав чугунов подбирается таким образом, чтобы структура металлической основы гильз представляла собой перлит баллов П-П95 или Ппс-Ппс95 с равномерно распределенным среднепластин</w:t>
      </w:r>
      <w:r>
        <w:rPr>
          <w:rFonts w:ascii="Times New Roman" w:hAnsi="Times New Roman" w:cs="Times New Roman"/>
          <w:sz w:val="28"/>
          <w:szCs w:val="28"/>
        </w:rPr>
        <w:softHyphen/>
        <w:t>чатым графитом, который должен соответствовать баллам Гд3 - Гд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Допускают включения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эвтектики баллов Фв1-Фв4, харак</w:t>
      </w:r>
      <w:r>
        <w:rPr>
          <w:rFonts w:ascii="Times New Roman" w:hAnsi="Times New Roman" w:cs="Times New Roman"/>
          <w:sz w:val="28"/>
          <w:szCs w:val="28"/>
        </w:rPr>
        <w:softHyphen/>
        <w:t>тер распределения которой должен соответствовать баллам Фр1-Фр4 [1]. Основные требования к геометрическим характеристикам гильз цилиндров, следующие:</w:t>
      </w:r>
    </w:p>
    <w:p w:rsidR="0091445D" w:rsidRDefault="0091445D" w:rsidP="0091445D">
      <w:pPr>
        <w:tabs>
          <w:tab w:val="left" w:pos="1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 внутренней поверхности гильзы риски, забоины,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заусенцы не допускаются, разрешаются отдельные раковины и точечная пористость, не снижающие эксплуатационные качества гильзы;</w:t>
      </w:r>
    </w:p>
    <w:p w:rsidR="0091445D" w:rsidRDefault="0091445D" w:rsidP="0091445D">
      <w:pPr>
        <w:tabs>
          <w:tab w:val="left" w:pos="4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шероховатость внутренней поверхности гильз </w:t>
      </w:r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ГОСТ 2789-73 должна быть не более 0,32 мкм. Для гильз автомобильных двигателей допускается наличие отдельных участков (не более 20% общей поверхности) с шероховатостью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Ra</w:t>
      </w:r>
      <w:r>
        <w:rPr>
          <w:rFonts w:ascii="Times New Roman" w:hAnsi="Times New Roman" w:cs="Times New Roman"/>
          <w:bCs/>
          <w:sz w:val="28"/>
          <w:szCs w:val="28"/>
        </w:rPr>
        <w:t xml:space="preserve"> 0,63 мкм.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 гильз тракторных дизелей допускается снижение параметра ше</w:t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роховатости внутренней поверхности вне зоны работы поршневых колец до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Ra</w:t>
      </w:r>
      <w:r>
        <w:rPr>
          <w:rFonts w:ascii="Times New Roman" w:hAnsi="Times New Roman" w:cs="Times New Roman"/>
          <w:bCs/>
          <w:sz w:val="28"/>
          <w:szCs w:val="28"/>
        </w:rPr>
        <w:t xml:space="preserve"> 1,25 мкм;</w:t>
      </w:r>
      <w:proofErr w:type="gramEnd"/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овальность и конусность рабочей поверхности гильз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 должна превышать: 0,015 - для гильз диаметром до 82 мм; 0,02 - для гильз диаметром от 82 до 110 мм; 0,025 - для гильз диаметром более 110 мм.  (Допускается увеличение овальности и конусности вне зоны работы колец на 0,01 мм).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виду того, что двигатели З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>3-4026 и ЗМЗ-4063 наиболее рас</w:t>
      </w:r>
      <w:r>
        <w:rPr>
          <w:rFonts w:ascii="Times New Roman" w:hAnsi="Times New Roman" w:cs="Times New Roman"/>
          <w:bCs/>
          <w:sz w:val="28"/>
          <w:szCs w:val="28"/>
        </w:rPr>
        <w:softHyphen/>
        <w:t>пространены и являются типичными предста</w:t>
      </w:r>
      <w:r>
        <w:rPr>
          <w:rFonts w:ascii="Times New Roman" w:hAnsi="Times New Roman" w:cs="Times New Roman"/>
          <w:bCs/>
          <w:sz w:val="28"/>
          <w:szCs w:val="28"/>
        </w:rPr>
        <w:softHyphen/>
        <w:t>вителями современных двигателей, гильзы цилинд</w:t>
      </w:r>
      <w:r>
        <w:rPr>
          <w:rFonts w:ascii="Times New Roman" w:hAnsi="Times New Roman" w:cs="Times New Roman"/>
          <w:bCs/>
          <w:sz w:val="28"/>
          <w:szCs w:val="28"/>
        </w:rPr>
        <w:softHyphen/>
        <w:t>ров названных двигателей приняты в качестве объекта настоящих исследований. Гильзы двигателя 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 xml:space="preserve">3-4026  (рис.1.1) изготавливают из серого чугуна марки СЧ 25 по ГОСТ 1412-79 с твердостью НВ 170...241. </w:t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Заволжский моторный завод (ЗМЗ) выдерживают технические условия на изготовление гильз цилиндров в соответствии с ГОСТ 14024-68.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неисправностей автомобилей Газель, которые возникают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процессе их эксплуатации, около 70% приходится на двигатель. Из них 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кривошипношатунный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механизм - 15...20%, систему зажига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 - 30...35%, систему питания - 12...20%, систему охлаждения - 2...3%, </w:t>
      </w:r>
      <w:r>
        <w:rPr>
          <w:rFonts w:ascii="Times New Roman" w:hAnsi="Times New Roman" w:cs="Times New Roman"/>
          <w:sz w:val="28"/>
          <w:szCs w:val="28"/>
        </w:rPr>
        <w:tab/>
        <w:t xml:space="preserve">систему смазки - около I%, распределительный механизм - 4...5%. Направление двигателей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1445D" w:rsidRDefault="0091445D" w:rsidP="00914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81575" cy="3314700"/>
            <wp:effectExtent l="0" t="0" r="9525" b="0"/>
            <wp:docPr id="1" name="Рисунок 10" descr="C:\Users\moiseev_vv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iseev_vv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5D" w:rsidRDefault="0091445D" w:rsidP="00914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Рис.1. Гильза цилиндра двигателя 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>3-4026</w:t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I%, распределительный механизм - 4...5%. Направление двигателей в ремонт в основном происхо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дит из-за неисправностей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цилиндро-поршневой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группы, проявляющей</w:t>
      </w:r>
      <w:r>
        <w:rPr>
          <w:rFonts w:ascii="Times New Roman" w:hAnsi="Times New Roman" w:cs="Times New Roman"/>
          <w:sz w:val="28"/>
          <w:szCs w:val="28"/>
        </w:rPr>
        <w:softHyphen/>
        <w:t>ся в наличии стуков, уменьшении компрессии в цилиндрах, увеличе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нии прорыва газов в картер двигателя, повышенным расходом (угаром) масла [2].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двигателей, главным образом, зависит от срока службы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цилиндро-поршневой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и в част</w:t>
      </w:r>
      <w:r>
        <w:rPr>
          <w:rFonts w:ascii="Times New Roman" w:hAnsi="Times New Roman" w:cs="Times New Roman"/>
          <w:sz w:val="28"/>
          <w:szCs w:val="28"/>
        </w:rPr>
        <w:softHyphen/>
        <w:t>ности от срока службы гильз цилиндров и ограничивается их износом, представляющим собой сложную совокупность явлений [3,4].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специфическим особенностям условий работы гильз цилиндров относят возвратно-поступательное скольжение поршневого кольца относительно зеркала цилиндра, работу в условиях высоких температур и давлений, работу в агрессивной коррозионной среде. Работа в условиях возвратно-пос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тупательного движения непосредственно отражается на смазочном действии моторных масел и состоянии активных поверхностных слоев трущихся  металлов. Смазка рабочей поверхности гильзы неодинакова по длине образующей стенки цилиндра. В нижней и средней части гильзы смазка происходит за счет разбрызгивания, масляного тумана и переноса масла кольцами. На этом участке обеспечивается гидродинамический режим смазки. В верхней части гильзы смазка осуществляется только за счет переноса масла кольцами. В работах [1,3] установлено, что в верхней части гильзы, местах реверсирования поршневых колец, масляная пленка уменьшается до толщины, при которой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микроучастках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возможен металлический контакт поршневых колец с материалом гильзы.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lastRenderedPageBreak/>
        <w:t>поверхность кольца и гильзы работают в условиях граничной смазки, это ведет к увеличению коэффициента трения и износу, что подтверждается исследова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Асташкевича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[5], который показал, что в зоне максимального износа цилиндра на поверхности трения отчетливо видны борозды, направленные по направляющей цилиндра, образованные вследствие схватывания материала цилиндра и поршневого кольца.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условиях возвратно-поступательного скольжения твердых тел активных поверхностных слоях происходит изменение величины и знака упругих и пластических деформаций, температуры трения, внутренних напряжений первого рода, наклепа, перестройка дислокационных полей, возрастание дефектности структуры и интенсификация электрофизических и химических процессов. Высокая те</w:t>
      </w:r>
      <w:r>
        <w:rPr>
          <w:rFonts w:ascii="Times New Roman" w:hAnsi="Times New Roman" w:cs="Times New Roman"/>
          <w:bCs/>
          <w:sz w:val="28"/>
          <w:szCs w:val="28"/>
        </w:rPr>
        <w:t>мпература непосредственно влияет на смазочное действие моторных масел, состояние активных поверхностных слоев и ст</w:t>
      </w:r>
      <w:r>
        <w:rPr>
          <w:rFonts w:ascii="Times New Roman" w:hAnsi="Times New Roman" w:cs="Times New Roman"/>
          <w:sz w:val="28"/>
          <w:szCs w:val="28"/>
        </w:rPr>
        <w:t>епень деформации гильз, интенсифицирует износ их рабочих поверхностей. Под влиянием высокой темпе</w:t>
      </w:r>
      <w:r>
        <w:rPr>
          <w:rFonts w:ascii="Times New Roman" w:hAnsi="Times New Roman" w:cs="Times New Roman"/>
          <w:sz w:val="28"/>
          <w:szCs w:val="28"/>
        </w:rPr>
        <w:softHyphen/>
        <w:t>ратуры в период воспламенения и сгорания рабочей смеси часть масляной пленки выгорает, моторные масла теряют вязкость и спо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собность прилипать к металлу, масляная пленка легко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разрушается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создаются условия для сухого трения [7].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Созданию на рабочей поверхности гильз термических усталостных напряжений способствуют резкие изменения температуры в зоне контакта гильзы с кольцом, достигающие 973...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(700...950°С) и выше. В результате в поверхностных слоях зеркала гильзы образуются микротрещины, которые распространяют</w:t>
      </w:r>
      <w:r>
        <w:rPr>
          <w:rFonts w:ascii="Times New Roman" w:hAnsi="Times New Roman" w:cs="Times New Roman"/>
          <w:sz w:val="28"/>
          <w:szCs w:val="28"/>
        </w:rPr>
        <w:softHyphen/>
        <w:t>ся вдоль пластинок графитных включений металлической основы. Затем происходит расслоение поверхности на отдельные участки, образование продуктов разрушения и возможно возникновение задира.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неравномерного нагрева стенок гильзы по длине происходит ее деформация, что приводит к неплотному прилеганию кольца к поверхности цилиндра по окружности и чрезмерному увели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чению контактных давлений в местах прилегания. При этом нарушается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герметичность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прорывающиеся газы сдувают масляную пленку с  поверхности цилиндра, в результате чего возникает граничное трение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эррозионный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износ гильз.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особенностью для гильз цилиндров является их работа при высоких давлениях. Так величина давления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надпоршневом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пространстве, в момент такта сжатия, достигает  250...300 кПа. При сгорании рабочей смеси давление газов повышается до 400...500 кПа. Газы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надпоршневого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 через зазоры проникают за кольцо и прижимают его к зеркалу цилиндра (рис.1.2) с силой, величина которой пропорциональна разности давлений газа в пространстве за кольцом 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и на поверхности сопряжения с цилиндром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приводит к резкому увеличению силы трения во время движения колец, выдавливанию масля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ного слоя из-под них, вследствие чего между кольцами и цилиндром возникает граничное трение [1]. Помимо физико-механических факторов (температура и давления) к специфическим условиям работы гильзы авторы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в агрессивной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коррозионной среде.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процессе сгорания топлива получается ряд кислот и других химических сое</w:t>
      </w:r>
      <w:r>
        <w:rPr>
          <w:rFonts w:ascii="Times New Roman" w:hAnsi="Times New Roman" w:cs="Times New Roman"/>
          <w:sz w:val="28"/>
          <w:szCs w:val="28"/>
        </w:rPr>
        <w:softHyphen/>
        <w:t>динений (углекислый газ, окислы азота, окись углерода, свобод</w:t>
      </w:r>
      <w:r>
        <w:rPr>
          <w:rFonts w:ascii="Times New Roman" w:hAnsi="Times New Roman" w:cs="Times New Roman"/>
          <w:sz w:val="28"/>
          <w:szCs w:val="28"/>
        </w:rPr>
        <w:softHyphen/>
        <w:t>ный кислород, пары воды, муравьиная, уксусная, угольная, серная и азотная кислоты), которые вызывают усиленную коррозию метал</w:t>
      </w:r>
      <w:r>
        <w:rPr>
          <w:rFonts w:ascii="Times New Roman" w:hAnsi="Times New Roman" w:cs="Times New Roman"/>
          <w:sz w:val="28"/>
          <w:szCs w:val="28"/>
        </w:rPr>
        <w:softHyphen/>
        <w:t>ла цилиндра в обнаженных от масла местах, разрушают структуру и образуют химические соединения большой хрупкости, чувствительные к контактным нагрузкам.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Продукты сго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рания, особенно соединения серы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ваннадия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приводят к ускорению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усталостно-коррозионных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явлений, к образованию твердых частиц в зоне трения, вызывают резкое усиление нагарообразования на головках и канавках поршней, что ухудшает теплообмен и способст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вует накоплению твердых частиц в смазке. В зависимости от того, что воздействует на металл - газы или кислоты, коррозию подразделяют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газовую и электрохимическую. </w:t>
      </w:r>
    </w:p>
    <w:p w:rsidR="0091445D" w:rsidRDefault="0091445D" w:rsidP="00914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1700" cy="2222799"/>
            <wp:effectExtent l="0" t="0" r="0" b="6350"/>
            <wp:docPr id="56" name="Рисунок 8" descr="C:\Users\moiseev_vv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iseev_vv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2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5D" w:rsidRDefault="0091445D" w:rsidP="00914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Рис.2. Схема сил, действующих на поршневые кольца</w:t>
      </w:r>
    </w:p>
    <w:p w:rsidR="0091445D" w:rsidRDefault="0091445D" w:rsidP="00914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3725" cy="2200275"/>
            <wp:effectExtent l="0" t="0" r="9525" b="9525"/>
            <wp:docPr id="57" name="Рисунок 7" descr="C:\Users\moiseev_vv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iseev_vv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 Изменение температуры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, давления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толщины масляной пленки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, скорости движения поршня </w:t>
      </w:r>
      <w:r>
        <w:rPr>
          <w:rFonts w:ascii="Times New Roman" w:hAnsi="Times New Roman" w:cs="Times New Roman"/>
          <w:i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и износа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длине цилиндровой втулки [1]</w:t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сложных, специфических условий работы гильзы цилиндра авторы [2,3,6] отмечают ее работу в абразивной среде. Одним из источников абразивных частиц является воздух, другим - продукты износа деталей двигателя. В общем объеме эксплуатационных износов деталей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цилиндро-поршневой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доля абразивного изнашивания составляет примерно половину всех износов [2].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сочетание и взаимосвязь многих факторов, в том числе: переменная скорость поршневого кольца при изменяющих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ся в широких пределах контактного давления, температуры, толщины масляной пленки (рис.3), наличие абразивных частиц,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 химические свойства трущихся поверхностей их микр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макрогеометрия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характеризуют условия работы гильзы цилиндра. Совместное действие перечисленных факторов приводит к возникновению и развитию процессов окисления, схватывания, усталостных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абразивных повреждений зеркала цилиндра.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Хрущовым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предложена классификация видов изнашивания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автомобильных двигателей внутреннего сгорания. Согласно этой классификации, гильза цилиндра испытывает абразивное, молекулярно-механическое и коррозионно-механическое изнашивание, соотношения между которыми зависит от температурного и силового режимов, качества смазки, свойств материалов сталей и поверхностных слоев, концентрации абразивных частиц зоне трения и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условий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гильза цилиндра может иметь следующие дефекты: износ и задиры внутренней поверхности, деформацию коробление посадочных поверхностей,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кавитационные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разрушения, отложение накипи на поверхностях, омываемых охлаждающей жидкостью. Износ внутренней поверхности гильзы неравномерен как по образующей цилиндра, так и по периметру относительно ее положения в двигателе. Максимальный износ наблюдается в верхней части гильзы - в зоне, где верхнее компрессионное кольцо меняет направление движения при прохождении верхней мертвой точки. В этом месте образуется кольцевая выработка, глубина которой и лимитирует, в большинстве случаев, срок службы гильзы. Предельной величиной максимального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износа  гильз цилиндров двигателей автотракторного типа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принято считать износ, равный  0,35...0,45 мм на диаметр. Дальнейшая эксплуатация двигателя из-за ухудшения эксплуатационных характеристик (падение мощности, большой угар масла, уменьшение компрессии, увеличение прорыва газов картер) становится затруднительной.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изношенной поверхности по высоте приближается к неправильному конусу, большое основание которого расположено вблизи верхней мертвой точки. Величина конусности для изношенных гильз автотракторных двигателей колеблется в пределах 0,04...0,32 мм. Неравномерный износ гильзы по высоте приводит к радиальным перемещениям кольца в канавке поршня, что способствует интенсификации износа сопряжений: кольцо-канавка поршня и кольцо-зеркало гильзы. Износ гильзы по периметру приближается к овалу, большая ось которого лежит в плоскости качания шатуна.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неравномерность износа гильз по периметру оказывают влияние следующие факторы: направление потока горючей смеси, которая поступает в цилиндр в парообразной и жидкой фазах со скоростью, близкой к скорости звука; изменение направления действия нормальных и инерционных сил при «перекладке» поршня; деформации гильзы в процессе сборки и работы.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Овальность автотракторных гильз в процессе эксплуатации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достигать до 0,20 мм.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величина износа (овальность) посадочных поясков гильзы лежит в пределах 0,05...0,07 мм и обычно не связана с величиной износа зеркала гильзы.</w:t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двигателях водяного охлаждения на поверхностях цилиндра, омываемых охлаждающей жидкостью, наблюдается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кавитационное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разрушение.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Кавитационное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разрушение связано с высокочастотными колебаниями гильзы,</w:t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возникающими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ударов поршня при его перекладке. Величина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кавитационных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раковин может достигать до 4 мм.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многочисленные теоретические и экспериментальные работы по изучению износа гильз цилиндров  в литературе отсутствуют сравнительные данные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износе гильз цилиндров на новых двигателях и гильз ремонтных размеров, работавших на отремонтированных двигателях ЗМЗ, с позиции оценки их износостойкости.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проведены исследования технического состояния гильз цилиндров двигателей 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3-4026, ЗМЗ-4063, поступивших в ремонт. Для выявле</w:t>
      </w:r>
      <w:r>
        <w:rPr>
          <w:rFonts w:ascii="Times New Roman" w:hAnsi="Times New Roman" w:cs="Times New Roman"/>
          <w:sz w:val="28"/>
          <w:szCs w:val="28"/>
        </w:rPr>
        <w:softHyphen/>
        <w:t>ния закономерностей износа и сравнительной оценки износостойко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сти гильз их подвергли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микрометражу</w:t>
      </w:r>
      <w:proofErr w:type="spellEnd"/>
      <w:r>
        <w:rPr>
          <w:rFonts w:ascii="Times New Roman" w:hAnsi="Times New Roman" w:cs="Times New Roman"/>
          <w:sz w:val="28"/>
          <w:szCs w:val="28"/>
        </w:rPr>
        <w:t>. К первой группе относились гильзы, работавшие на новых двигателях, впервые поступившие в ремонт; ко второй группе - гильзы ремонтного размера, работавшие на капитально от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ремонтированных двигателях. В каждой группе проверку проходили 80 штук гильз цилиндров.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Микрометраж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производили индикатором нутромером с ценой деления 0,01 мм с измерительным стержнем ради</w:t>
      </w:r>
      <w:r>
        <w:rPr>
          <w:rFonts w:ascii="Times New Roman" w:hAnsi="Times New Roman" w:cs="Times New Roman"/>
          <w:sz w:val="28"/>
          <w:szCs w:val="28"/>
        </w:rPr>
        <w:softHyphen/>
        <w:t>усом 1,5 мм. Гильзы измерялись согласно ГОСТ 14846-69 в четырех направлениях (в плоскости качения шатуна, вдоль оси коленчатого вала и под углом 45° к двум первым направлениям) и четырех поя</w:t>
      </w:r>
      <w:r>
        <w:rPr>
          <w:rFonts w:ascii="Times New Roman" w:hAnsi="Times New Roman" w:cs="Times New Roman"/>
          <w:sz w:val="28"/>
          <w:szCs w:val="28"/>
        </w:rPr>
        <w:softHyphen/>
        <w:t>сах на расстоянии  10, 50, 100, 145 мм от верх</w:t>
      </w:r>
      <w:r>
        <w:rPr>
          <w:rFonts w:ascii="Times New Roman" w:hAnsi="Times New Roman" w:cs="Times New Roman"/>
          <w:sz w:val="28"/>
          <w:szCs w:val="28"/>
        </w:rPr>
        <w:softHyphen/>
        <w:t>ней кромки гильзы цилиндра двигателей 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3-4026. Замер гильз осуществляли после разборки двигателя и тщательной их очистки.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износов гильз цилиндров в каждом поясе проводили по значениям максимальной величины. По максимальной разности диамет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ральных размеров гильзы во взаимно перпендикулярных плоскостях одноименных поясов определяли овальность гильз цилиндров, а по разности максимального диаметра пояса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и минимального диамет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 пояса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определяли конусность.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Обработку статистической информации проводили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специально разработанной программе. Эпюры изношенной поверхности получали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профилографирования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зеркала гильзы цилиндра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профилографе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профилометре моде</w:t>
      </w:r>
      <w:r>
        <w:rPr>
          <w:rFonts w:ascii="Times New Roman" w:hAnsi="Times New Roman" w:cs="Times New Roman"/>
          <w:sz w:val="28"/>
          <w:szCs w:val="28"/>
        </w:rPr>
        <w:softHyphen/>
        <w:t>ли 201 завода «Калибр» при вертикальном увеличении х1000 и горизонтальном х8. Сравнительную оценку износостойкости одноименных групп гильз определяли как отношение средней величины максимальных износов к средней величине пробега двигателей данной группы.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статистической обработки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микрометража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гильз показали, что общим является то, что зона максимальных износов по образующей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располагается зоне остановки первого компрессионного кольца в верхней мертвой точке и характер распределения износов хорошо согласуется законом распределения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Зона максимального износа приходится на длину работы компрессионных колец, где средний максимальный износ превышает допуск на обработку 0,06 мм. Ниже этой зоны средний максимальный износ гильз для четырех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микрометрованных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не выходит за пределы 0,06 мм. Средние значение максимальных износов по длине гильз по данным статистической обработки приведены на рис.4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из которого видно, что максимальные средние величины износа у гильз ремонтных размеров несколько ниже по сравнению с износами гильз новых двигателей.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Профилографирование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наиболее изношенного участка гильз цилиндров – в зоне действия компрессионных колец показало, что у гильз цилиндров ремонтного размера эпюры имеют более сложный характер, чем гильз новых двигателей. </w:t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4800" cy="2238375"/>
            <wp:effectExtent l="0" t="0" r="0" b="9525"/>
            <wp:docPr id="58" name="Рисунок 11" descr="C:\Users\moiseev_vv\Desktop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iseev_vv\Desktop\media\image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5D" w:rsidRDefault="0091445D" w:rsidP="0091445D">
      <w:pP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4. Средние значения износов гильз цилиндров двигателя ЗМЗ -4026</w:t>
      </w:r>
    </w:p>
    <w:p w:rsidR="0091445D" w:rsidRDefault="0091445D" w:rsidP="0091445D">
      <w:pP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>- гильзы новых двигателей;</w:t>
      </w:r>
    </w:p>
    <w:p w:rsidR="0091445D" w:rsidRDefault="0091445D" w:rsidP="0091445D">
      <w:pPr>
        <w:tabs>
          <w:tab w:val="left" w:pos="2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>- гильзы ремонтных размеров отремонтированных двигателей</w:t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Эпюры износа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гильз цилиндров, работавших на новых двигателях </w:t>
      </w:r>
      <w:r>
        <w:rPr>
          <w:rFonts w:ascii="Times New Roman" w:hAnsi="Times New Roman" w:cs="Times New Roman"/>
          <w:sz w:val="28"/>
          <w:szCs w:val="28"/>
        </w:rPr>
        <w:t xml:space="preserve"> (рис.5) с углом 50…70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характерны для зоны остановки первого компрессионного кольца. Здесь характерны наиболее тяжелые условия работы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цилиндро-поршневой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второй зоне, зоне остановки второго компрессионного кольца, имеется точка перелома 130...150°. Третий более равный изгиб эпюры износа находится в зоне остановки маслосъемного кольца с углом излома эпюры в 150...175°.  Подобная кар</w:t>
      </w:r>
      <w:r>
        <w:rPr>
          <w:rFonts w:ascii="Times New Roman" w:hAnsi="Times New Roman" w:cs="Times New Roman"/>
          <w:sz w:val="28"/>
          <w:szCs w:val="28"/>
        </w:rPr>
        <w:softHyphen/>
        <w:t>тина наблюдается и на эпюрах износа гильз ремонтных размеров, но при этом поверхность износа имеет более волнистый характер, что указывает на более тяжелые условия рабо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цилиндро-поршневой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(рис.6).</w:t>
      </w:r>
    </w:p>
    <w:p w:rsidR="0091445D" w:rsidRDefault="0091445D" w:rsidP="00914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90850" cy="2704960"/>
            <wp:effectExtent l="0" t="0" r="0" b="635"/>
            <wp:docPr id="59" name="Рисунок 4" descr="C:\Users\moiseev_vv\Desktop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iseev_vv\Desktop\media\image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Эпюры износа гильз цилиндров, работавших на новых двигателях</w:t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45D" w:rsidRDefault="0091445D" w:rsidP="00914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3853" cy="2762250"/>
            <wp:effectExtent l="0" t="0" r="5080" b="0"/>
            <wp:docPr id="60" name="Рисунок 3" descr="C:\Users\moiseev_vv\Desktop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iseev_vv\Desktop\media\image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853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 Эпюра износа гильз цилиндров ремонтных размеров, работавших на отремонтированных двигателях</w:t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Некоторые различия в износа гильз цилиндров, работавших на новых и отремонтированных двигателях, можно объяснить уменьшением жесткости гильз цилиндров из-за снятия части металла при ее растачивании на ремонтный размер, большой величиной деформации от затяжки головки  силовыми болтами при сборке, от действия газовых сил и номерных температурных полей, ухудшением теплопередачи вследствие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накипеобразованием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наружной поверхности гильзы цилиндра.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Сюда следует отнести и различные нарушения технических условий при сборке двигателей.</w:t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более низкие значения средних максимальных износов гильз цилиндров ремонтных размеров, их износостойкость, определенная как отношение средних максимальных величин износа к среднему пробегу двигателей, ниже износостойкости для новых двигателей. </w:t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 данным спидометров пробег капитально отремонтированных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двигателей 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3-4063 составил-60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км, а новых двигателей приближался к нормативу и равнялся 158 тыс. км. Исходя из этих данных средняя величина износостойкости гильз ремонтных размеров двигателей 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3-4063составила - 2,8 мкм/1000 км. Средняя величина износостойкости гильз цилиндров новых двигателей - 1,2 мкм/1000 км.</w:t>
      </w:r>
    </w:p>
    <w:p w:rsidR="0091445D" w:rsidRDefault="0091445D" w:rsidP="009144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нарастания овальности, определенная аналогич</w:t>
      </w:r>
      <w:r>
        <w:rPr>
          <w:rFonts w:ascii="Times New Roman" w:hAnsi="Times New Roman" w:cs="Times New Roman"/>
          <w:sz w:val="28"/>
          <w:szCs w:val="28"/>
        </w:rPr>
        <w:softHyphen/>
        <w:t>на методом, для гильз цилиндров ремонтного размера составляет - 0,9 мкм/1000 км. Для гильз цилиндров новых двигателей эти данные равны - 0,3 мкм/1000 км</w:t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нарастания конусности для гильз цилиндров ремонтного размера составляет  - 2,4 мкм/1000 км. Для гильз цилиндров новых двигателей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- 0,99 мкм/1000 км.  Оценивая приведенные результаты можно сказать, что износостойкость гильз цилиндров ремонтных размеров отремонтированных двигателей в 2,3 раза ниже износостойкости гильз, работавших на новых двигателях. Интенсивность нарастания овальности и конусности на гильзах ремонтных размеров 3,3 и 2,4 раза выше, чем на гильзах новых двигателей. Основной износ гильз цилиндров приходится на зону действия компрессионных колец. Гильзы цилиндров исчерпывают свой ресурс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макрогеометрических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отклонений и в первую очередь, из-за большой величины овальности  и конусности, возникающей в зоне действия компрессионных колец. Для повышения ресурса ремонтной гильзы и в целом капитально отремонтированного двигателя необходимо повысить износостойкость ремонтной гильзы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в зоне действия компрессионных колец. Исходя из полученных данных по износостойкости и темпу нарастания овальности и конусности, износостойкость верхней части гильзы необходимо повысить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45D" w:rsidRDefault="0091445D" w:rsidP="0091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3.. .3,5 раза. Решение этой задачи можно выполнит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нанесения износостойкого покрытия при восстановлении гильзы в верхней, наиболее подверженной износу, части гильзы.</w:t>
      </w:r>
    </w:p>
    <w:p w:rsidR="0091445D" w:rsidRDefault="0091445D" w:rsidP="009144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1445D" w:rsidRDefault="0091445D" w:rsidP="0091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Трение, изнашивание и смазка.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Справочник.в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2-х кн. Кн.2</w:t>
      </w:r>
      <w:proofErr w:type="gramStart"/>
      <w:r>
        <w:rPr>
          <w:rFonts w:ascii="Times New Roman" w:hAnsi="Times New Roman" w:cs="Times New Roman"/>
          <w:sz w:val="28"/>
          <w:szCs w:val="28"/>
        </w:rPr>
        <w:t>/П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И.В.Крагельского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Алисина.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М.:Машиностроение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1979.-358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445D" w:rsidRDefault="0091445D" w:rsidP="0091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Эксплуатация армейских машин /под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ед.А.Т.Смирнова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–М.: Воениздат, 1987. -430 с.</w:t>
      </w:r>
    </w:p>
    <w:p w:rsidR="0091445D" w:rsidRDefault="0091445D" w:rsidP="0091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М.А.,Пономарев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Износ и долговечность автомобильных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двигателей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М.:Машиностроение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1989.-248 с.</w:t>
      </w:r>
    </w:p>
    <w:p w:rsidR="0091445D" w:rsidRDefault="0091445D" w:rsidP="0091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Крагельский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Трение и износ.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Машиностроение, 1986. -480 с.</w:t>
      </w:r>
    </w:p>
    <w:p w:rsidR="0091445D" w:rsidRDefault="0091445D" w:rsidP="0091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Вопросы повышения износостойкости цилиндровых втулок и поршневых колец транспортных двигателей //Вестник машиностроения. -1987. -№3.- С.9-12.</w:t>
      </w:r>
    </w:p>
    <w:p w:rsidR="0091445D" w:rsidRDefault="0091445D" w:rsidP="0091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Дашков С.Н. Теплообмен двигателей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теплонапряженность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деталей.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Л.:Машгиз</w:t>
      </w:r>
      <w:proofErr w:type="spellEnd"/>
      <w:r>
        <w:rPr>
          <w:rFonts w:ascii="Times New Roman" w:hAnsi="Times New Roman" w:cs="Times New Roman"/>
          <w:sz w:val="28"/>
          <w:szCs w:val="28"/>
        </w:rPr>
        <w:t>, 1969. -389 с.</w:t>
      </w:r>
    </w:p>
    <w:p w:rsidR="00B46817" w:rsidRPr="0091445D" w:rsidRDefault="0091445D" w:rsidP="00914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Хрушов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М.П.Исследование изнашивания металлов.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.:Изд-во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 СССР, 1979. -351 с.</w:t>
      </w:r>
    </w:p>
    <w:sectPr w:rsidR="00B46817" w:rsidRPr="0091445D" w:rsidSect="00B4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9B4"/>
    <w:multiLevelType w:val="hybridMultilevel"/>
    <w:tmpl w:val="5972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91445D"/>
    <w:rsid w:val="0091445D"/>
    <w:rsid w:val="00B4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4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45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2961</Words>
  <Characters>16881</Characters>
  <Application>Microsoft Office Word</Application>
  <DocSecurity>0</DocSecurity>
  <Lines>140</Lines>
  <Paragraphs>39</Paragraphs>
  <ScaleCrop>false</ScaleCrop>
  <Company/>
  <LinksUpToDate>false</LinksUpToDate>
  <CharactersWithSpaces>19803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reznikov_op</dc:creator>
  <cp:lastModifiedBy>reznikov_op</cp:lastModifiedBy>
  <cp:revision>1</cp:revision>
  <dcterms:created xsi:type="dcterms:W3CDTF">2017-09-26T04:17:00Z</dcterms:created>
  <dcterms:modified xsi:type="dcterms:W3CDTF">2017-09-26T04:19:00Z</dcterms:modified>
</cp:coreProperties>
</file>